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590965A" wp14:editId="2ADE967E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A52FB" w14:textId="13B0A163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15336751" w:rsidR="00567835" w:rsidRDefault="00CD5EE9" w:rsidP="0035333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AUGUST </w:t>
      </w:r>
      <w:r w:rsidR="00A73F93">
        <w:rPr>
          <w:rFonts w:ascii="Arial" w:hAnsi="Arial" w:cs="Arial"/>
          <w:b/>
          <w:bCs/>
        </w:rPr>
        <w:t>2022</w:t>
      </w:r>
    </w:p>
    <w:p w14:paraId="0831DB88" w14:textId="77777777" w:rsidR="00CD5EE9" w:rsidRPr="007D22E9" w:rsidRDefault="00CD5EE9" w:rsidP="00353336">
      <w:pPr>
        <w:spacing w:after="0" w:line="240" w:lineRule="auto"/>
        <w:rPr>
          <w:rFonts w:ascii="Arial" w:hAnsi="Arial" w:cs="Arial"/>
          <w:b/>
        </w:rPr>
      </w:pPr>
    </w:p>
    <w:p w14:paraId="2DCBE7C4" w14:textId="1EAFC3B6" w:rsidR="00BF66D3" w:rsidRDefault="00CD5EE9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Mike Coyne, Chair</w:t>
      </w:r>
      <w:r w:rsidR="0061091E"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, welcomed Trustees to the meeting</w:t>
      </w:r>
      <w:r w:rsidR="003262B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8C56C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and in so doing </w:t>
      </w:r>
      <w:r w:rsidR="005E29F8">
        <w:rPr>
          <w:rFonts w:ascii="Arial" w:eastAsia="Times New Roman" w:hAnsi="Arial" w:cs="Arial"/>
          <w:color w:val="000000" w:themeColor="text1"/>
          <w:sz w:val="22"/>
          <w:szCs w:val="22"/>
        </w:rPr>
        <w:t>noted and accepted the declarations of interest mad</w:t>
      </w:r>
      <w:r w:rsidR="007E120B">
        <w:rPr>
          <w:rFonts w:ascii="Arial" w:eastAsia="Times New Roman" w:hAnsi="Arial" w:cs="Arial"/>
          <w:color w:val="000000" w:themeColor="text1"/>
          <w:sz w:val="22"/>
          <w:szCs w:val="22"/>
        </w:rPr>
        <w:t>e.</w:t>
      </w:r>
    </w:p>
    <w:p w14:paraId="652D796D" w14:textId="1C98245D" w:rsidR="000B084E" w:rsidRDefault="000B084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financial position, Trustees:</w:t>
      </w:r>
    </w:p>
    <w:p w14:paraId="05CCEABD" w14:textId="54136A8F" w:rsidR="00935843" w:rsidRDefault="001C52F4" w:rsidP="001C52F4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Assessed the financial viability of national representative football in the context of the overall Association finances, and agreed that they could proceed</w:t>
      </w:r>
      <w:r w:rsidR="00C2324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as proposed</w:t>
      </w:r>
    </w:p>
    <w:p w14:paraId="7B476073" w14:textId="5EDF3B2B" w:rsidR="00C23244" w:rsidRDefault="00C23244" w:rsidP="001C52F4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Reviewed the </w:t>
      </w:r>
      <w:r w:rsidR="003C165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unclaimed travel funding </w:t>
      </w:r>
      <w:r w:rsidR="00172E98">
        <w:rPr>
          <w:rFonts w:ascii="Arial" w:eastAsia="Times New Roman" w:hAnsi="Arial" w:cs="Arial"/>
          <w:color w:val="000000" w:themeColor="text1"/>
          <w:sz w:val="22"/>
          <w:szCs w:val="22"/>
        </w:rPr>
        <w:t>for Associations and agreed how this should be repurposed for the benefit of Members</w:t>
      </w:r>
    </w:p>
    <w:p w14:paraId="21FF910C" w14:textId="640F28B6" w:rsidR="00172E98" w:rsidRDefault="0056301C" w:rsidP="001C52F4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his pipeline from the Commercial Director</w:t>
      </w:r>
    </w:p>
    <w:p w14:paraId="099BA7D7" w14:textId="25FC0181" w:rsidR="0056301C" w:rsidRDefault="00653E14" w:rsidP="001C52F4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Were delighted to welcome a significant new commercial sponsor to the ESFA’s partnerships</w:t>
      </w:r>
    </w:p>
    <w:p w14:paraId="5A09A3BA" w14:textId="3F2E3A65" w:rsidR="00286403" w:rsidRDefault="00286403" w:rsidP="001C52F4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Agreed the commercial income target for </w:t>
      </w:r>
      <w:r w:rsidR="009D0645">
        <w:rPr>
          <w:rFonts w:ascii="Arial" w:eastAsia="Times New Roman" w:hAnsi="Arial" w:cs="Arial"/>
          <w:color w:val="000000" w:themeColor="text1"/>
          <w:sz w:val="22"/>
          <w:szCs w:val="22"/>
        </w:rPr>
        <w:t>22/23</w:t>
      </w:r>
    </w:p>
    <w:p w14:paraId="56108612" w14:textId="77777777" w:rsidR="00653E14" w:rsidRDefault="00653E14" w:rsidP="00653E14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1589669" w14:textId="1ACFB963" w:rsidR="00E719BB" w:rsidRDefault="00BF66D3" w:rsidP="00E8575F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14:paraId="3E62CFD8" w14:textId="14F790C5" w:rsidR="00935843" w:rsidRDefault="009C57D9" w:rsidP="009C57D9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pleased to hear of the appointment of the new Social Media and Marketing Officer</w:t>
      </w:r>
    </w:p>
    <w:p w14:paraId="69BEFA56" w14:textId="0C85F9E1" w:rsidR="009C57D9" w:rsidRDefault="009C57D9" w:rsidP="009C57D9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the advertising schedule for international appointments</w:t>
      </w:r>
    </w:p>
    <w:p w14:paraId="187EDD9F" w14:textId="6CCA21E1" w:rsidR="00951B82" w:rsidRDefault="00951B82" w:rsidP="009C57D9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Accepted the slight delay in staff appraisals</w:t>
      </w:r>
    </w:p>
    <w:p w14:paraId="2B595646" w14:textId="5F353502" w:rsidR="00951B82" w:rsidRDefault="00B77BF7" w:rsidP="009C57D9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Agreed to a fixed term Office Administrator and </w:t>
      </w:r>
      <w:r w:rsidR="004D0270">
        <w:rPr>
          <w:rFonts w:ascii="Arial" w:eastAsia="Times New Roman" w:hAnsi="Arial" w:cs="Arial"/>
          <w:color w:val="000000"/>
          <w:sz w:val="22"/>
          <w:szCs w:val="22"/>
        </w:rPr>
        <w:t>National Competitions Secretary role</w:t>
      </w:r>
    </w:p>
    <w:p w14:paraId="7B4BDF9B" w14:textId="50E83487" w:rsidR="004D0270" w:rsidRDefault="004D0270" w:rsidP="009C57D9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disappointed to receive the resignation of the Governance Manager, and agreed to readvertise the role</w:t>
      </w:r>
    </w:p>
    <w:p w14:paraId="1E49189A" w14:textId="77777777" w:rsidR="00522201" w:rsidRDefault="00522201" w:rsidP="00522201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7ACD5DF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FE10C9C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sponsorship and partnership arrangements, Trustees:</w:t>
      </w:r>
    </w:p>
    <w:p w14:paraId="0BD065A9" w14:textId="21D60ABC" w:rsidR="001514CD" w:rsidRDefault="00781624" w:rsidP="00522201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Were pleased </w:t>
      </w:r>
      <w:r w:rsidR="00522201">
        <w:rPr>
          <w:rFonts w:ascii="Arial" w:eastAsia="Times New Roman" w:hAnsi="Arial" w:cs="Arial"/>
          <w:color w:val="000000"/>
          <w:sz w:val="22"/>
          <w:szCs w:val="22"/>
        </w:rPr>
        <w:t>to approve the year-end KPI report to the FA, showing that all targets had been exceeded</w:t>
      </w:r>
    </w:p>
    <w:p w14:paraId="0ADB7E92" w14:textId="0A6BF6CF" w:rsidR="00482EBA" w:rsidRDefault="00482EBA" w:rsidP="00522201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the FA matters to be referred to Council</w:t>
      </w:r>
    </w:p>
    <w:p w14:paraId="088FD2E0" w14:textId="41844523" w:rsidR="001B577D" w:rsidRDefault="001B577D" w:rsidP="00522201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an update on The FA competitions review</w:t>
      </w:r>
    </w:p>
    <w:p w14:paraId="32A2C32C" w14:textId="7402C866" w:rsidR="001B577D" w:rsidRDefault="00030794" w:rsidP="00522201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pleased that two further contract review meetings had resulted in continuation of sponsorship</w:t>
      </w:r>
    </w:p>
    <w:p w14:paraId="0F61C080" w14:textId="7DD12179" w:rsidR="00B419B2" w:rsidRDefault="00B419B2" w:rsidP="00522201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Were delighted that the Department for Education (DfE) wished to engage with the ESFA for the purposes of </w:t>
      </w:r>
      <w:r w:rsidR="00C044B3">
        <w:rPr>
          <w:rFonts w:ascii="Arial" w:eastAsia="Times New Roman" w:hAnsi="Arial" w:cs="Arial"/>
          <w:color w:val="000000"/>
          <w:sz w:val="22"/>
          <w:szCs w:val="22"/>
        </w:rPr>
        <w:t xml:space="preserve">supporting </w:t>
      </w:r>
      <w:r w:rsidR="00A14756">
        <w:rPr>
          <w:rFonts w:ascii="Arial" w:eastAsia="Times New Roman" w:hAnsi="Arial" w:cs="Arial"/>
          <w:color w:val="000000"/>
          <w:sz w:val="22"/>
          <w:szCs w:val="22"/>
        </w:rPr>
        <w:t>physical activity in schools</w:t>
      </w:r>
    </w:p>
    <w:p w14:paraId="482ACF46" w14:textId="77777777" w:rsidR="001514CD" w:rsidRPr="00F60FB3" w:rsidRDefault="001514CD" w:rsidP="001514CD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92A724C" w14:textId="2F8C896A" w:rsidR="00F530C7" w:rsidRDefault="00222FB1" w:rsidP="0F2DBD47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F2DBD47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progress against its business plan, Trustees:</w:t>
      </w:r>
    </w:p>
    <w:p w14:paraId="4B1E0F0F" w14:textId="39206966" w:rsidR="00DB5E75" w:rsidRPr="00DE5D40" w:rsidRDefault="00DE5D40" w:rsidP="00DE5D40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Signed off the year-end report for 21/22</w:t>
      </w:r>
    </w:p>
    <w:p w14:paraId="48722FB2" w14:textId="443CAE2D" w:rsidR="0004297C" w:rsidRDefault="00DE5D40" w:rsidP="008469AA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Considered, amended then approved the draft business plan</w:t>
      </w:r>
      <w:r w:rsidR="0004297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SWOT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for 22/23</w:t>
      </w:r>
    </w:p>
    <w:p w14:paraId="0BEB3877" w14:textId="2D35A4C8" w:rsidR="008469AA" w:rsidRPr="008469AA" w:rsidRDefault="008469AA" w:rsidP="008469AA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Agreed their investment in referee development</w:t>
      </w:r>
    </w:p>
    <w:p w14:paraId="46EFABA2" w14:textId="53A3F63D" w:rsidR="008469AA" w:rsidRPr="00407F88" w:rsidRDefault="00407F88" w:rsidP="008469AA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Heard the interim results from the coaches survey</w:t>
      </w:r>
    </w:p>
    <w:p w14:paraId="79968C78" w14:textId="3CDAFA62" w:rsidR="00407F88" w:rsidRPr="00A66CD4" w:rsidRDefault="00A66CD4" w:rsidP="008469AA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Were pleased to receive the report on the “Hot Shots” campaign, which had exceeded expectations.</w:t>
      </w:r>
    </w:p>
    <w:p w14:paraId="03FD43D4" w14:textId="5B10AB05" w:rsidR="00A66CD4" w:rsidRPr="00E961BA" w:rsidRDefault="00A66CD4" w:rsidP="008469AA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Noted from player evaluation that those involved considered the </w:t>
      </w:r>
      <w:r w:rsidR="00E961BA">
        <w:rPr>
          <w:rFonts w:ascii="Arial" w:hAnsi="Arial" w:cs="Arial"/>
          <w:color w:val="000000" w:themeColor="text1"/>
          <w:sz w:val="22"/>
          <w:szCs w:val="22"/>
        </w:rPr>
        <w:t>national finals to have been very successful</w:t>
      </w:r>
    </w:p>
    <w:p w14:paraId="573D2B22" w14:textId="052FB5CB" w:rsidR="00E961BA" w:rsidRPr="008F058A" w:rsidRDefault="008F058A" w:rsidP="008469AA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Were interested in the case studies arising from the investment in the “Development Fund”</w:t>
      </w:r>
    </w:p>
    <w:p w14:paraId="38B74220" w14:textId="77777777" w:rsidR="008F058A" w:rsidRPr="008469AA" w:rsidRDefault="008F058A" w:rsidP="008F058A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sz w:val="22"/>
          <w:szCs w:val="22"/>
        </w:rPr>
      </w:pPr>
    </w:p>
    <w:p w14:paraId="5EA10C43" w14:textId="0C0D8425" w:rsidR="00BF66D3" w:rsidRDefault="00222FB1" w:rsidP="43D3A82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governance arrangements, Trustees:</w:t>
      </w:r>
      <w:r w:rsidR="59079ADD"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41948639" w14:textId="078F3D5F" w:rsidR="00DF3136" w:rsidRDefault="00542FB3" w:rsidP="008F058A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</w:t>
      </w:r>
      <w:r w:rsidR="008F058A">
        <w:rPr>
          <w:rFonts w:ascii="Arial" w:eastAsia="Times New Roman" w:hAnsi="Arial" w:cs="Arial"/>
          <w:color w:val="000000" w:themeColor="text1"/>
          <w:sz w:val="22"/>
          <w:szCs w:val="22"/>
        </w:rPr>
        <w:t>the report from the Board Safeguarding Champion and the minutes of relevant meetings</w:t>
      </w:r>
    </w:p>
    <w:p w14:paraId="2407177C" w14:textId="5928A613" w:rsidR="008F058A" w:rsidRDefault="008F058A" w:rsidP="008F058A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Agreed to further engagement in disability awareness for full Council including the Board</w:t>
      </w:r>
    </w:p>
    <w:p w14:paraId="0A477A28" w14:textId="56759647" w:rsidR="00B4626F" w:rsidRDefault="00B4626F" w:rsidP="008F058A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and noted the report of the Honorary Auditors</w:t>
      </w:r>
    </w:p>
    <w:p w14:paraId="67A6CC55" w14:textId="77777777" w:rsidR="00417682" w:rsidRDefault="00417682" w:rsidP="00417682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FB7D8B5" w14:textId="1559B0A7" w:rsidR="006B62DC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2D6F8A98">
        <w:rPr>
          <w:rFonts w:ascii="Arial" w:eastAsia="Times New Roman" w:hAnsi="Arial" w:cs="Arial"/>
          <w:color w:val="000000" w:themeColor="text1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CB1FC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Trustees conducted their routine review of risks facing the Association</w:t>
      </w:r>
      <w:r w:rsidR="0062768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checked that opportunities to engage players in decision making had been considered.</w:t>
      </w:r>
    </w:p>
    <w:sectPr w:rsidR="006B62DC" w:rsidSect="006C76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E247" w14:textId="77777777" w:rsidR="001D1E06" w:rsidRDefault="001D1E06" w:rsidP="00353336">
      <w:pPr>
        <w:spacing w:after="0" w:line="240" w:lineRule="auto"/>
      </w:pPr>
      <w:r>
        <w:separator/>
      </w:r>
    </w:p>
  </w:endnote>
  <w:endnote w:type="continuationSeparator" w:id="0">
    <w:p w14:paraId="1A8C00DD" w14:textId="77777777" w:rsidR="001D1E06" w:rsidRDefault="001D1E06" w:rsidP="00353336">
      <w:pPr>
        <w:spacing w:after="0" w:line="240" w:lineRule="auto"/>
      </w:pPr>
      <w:r>
        <w:continuationSeparator/>
      </w:r>
    </w:p>
  </w:endnote>
  <w:endnote w:type="continuationNotice" w:id="1">
    <w:p w14:paraId="7D0E6882" w14:textId="77777777" w:rsidR="001D1E06" w:rsidRDefault="001D1E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CE9E" w14:textId="77777777" w:rsidR="001D1E06" w:rsidRDefault="001D1E06" w:rsidP="00353336">
      <w:pPr>
        <w:spacing w:after="0" w:line="240" w:lineRule="auto"/>
      </w:pPr>
      <w:r>
        <w:separator/>
      </w:r>
    </w:p>
  </w:footnote>
  <w:footnote w:type="continuationSeparator" w:id="0">
    <w:p w14:paraId="5E00E655" w14:textId="77777777" w:rsidR="001D1E06" w:rsidRDefault="001D1E06" w:rsidP="00353336">
      <w:pPr>
        <w:spacing w:after="0" w:line="240" w:lineRule="auto"/>
      </w:pPr>
      <w:r>
        <w:continuationSeparator/>
      </w:r>
    </w:p>
  </w:footnote>
  <w:footnote w:type="continuationNotice" w:id="1">
    <w:p w14:paraId="569B8614" w14:textId="77777777" w:rsidR="001D1E06" w:rsidRDefault="001D1E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5482"/>
    <w:multiLevelType w:val="hybridMultilevel"/>
    <w:tmpl w:val="FFFFFFFF"/>
    <w:lvl w:ilvl="0" w:tplc="9E04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1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0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1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4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0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AB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0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E5694"/>
    <w:multiLevelType w:val="hybridMultilevel"/>
    <w:tmpl w:val="7626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3332"/>
    <w:multiLevelType w:val="hybridMultilevel"/>
    <w:tmpl w:val="9BD0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36B5D"/>
    <w:multiLevelType w:val="hybridMultilevel"/>
    <w:tmpl w:val="4E70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06FA9"/>
    <w:multiLevelType w:val="hybridMultilevel"/>
    <w:tmpl w:val="FFE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65FE6"/>
    <w:multiLevelType w:val="hybridMultilevel"/>
    <w:tmpl w:val="662E6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0348825">
    <w:abstractNumId w:val="5"/>
  </w:num>
  <w:num w:numId="2" w16cid:durableId="270086961">
    <w:abstractNumId w:val="0"/>
  </w:num>
  <w:num w:numId="3" w16cid:durableId="375394039">
    <w:abstractNumId w:val="6"/>
  </w:num>
  <w:num w:numId="4" w16cid:durableId="1473327025">
    <w:abstractNumId w:val="1"/>
  </w:num>
  <w:num w:numId="5" w16cid:durableId="1199466185">
    <w:abstractNumId w:val="4"/>
  </w:num>
  <w:num w:numId="6" w16cid:durableId="167136543">
    <w:abstractNumId w:val="3"/>
  </w:num>
  <w:num w:numId="7" w16cid:durableId="1889683086">
    <w:abstractNumId w:val="2"/>
  </w:num>
  <w:num w:numId="8" w16cid:durableId="204347923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5"/>
    <w:rsid w:val="0000388C"/>
    <w:rsid w:val="000238D7"/>
    <w:rsid w:val="00026F94"/>
    <w:rsid w:val="00030794"/>
    <w:rsid w:val="0004297C"/>
    <w:rsid w:val="00043E4A"/>
    <w:rsid w:val="000814FC"/>
    <w:rsid w:val="00084976"/>
    <w:rsid w:val="000A0D1C"/>
    <w:rsid w:val="000B084E"/>
    <w:rsid w:val="000B4E8C"/>
    <w:rsid w:val="000B7C90"/>
    <w:rsid w:val="000C0489"/>
    <w:rsid w:val="000E1795"/>
    <w:rsid w:val="000F4FAA"/>
    <w:rsid w:val="000F5B2B"/>
    <w:rsid w:val="000F6409"/>
    <w:rsid w:val="00107E5B"/>
    <w:rsid w:val="00116F64"/>
    <w:rsid w:val="001212A0"/>
    <w:rsid w:val="0012462F"/>
    <w:rsid w:val="001312D4"/>
    <w:rsid w:val="001372A9"/>
    <w:rsid w:val="00141BA4"/>
    <w:rsid w:val="00144862"/>
    <w:rsid w:val="001514CD"/>
    <w:rsid w:val="00162466"/>
    <w:rsid w:val="00172E98"/>
    <w:rsid w:val="001A642C"/>
    <w:rsid w:val="001B49AA"/>
    <w:rsid w:val="001B577D"/>
    <w:rsid w:val="001C25A9"/>
    <w:rsid w:val="001C2DF2"/>
    <w:rsid w:val="001C52F4"/>
    <w:rsid w:val="001D1E06"/>
    <w:rsid w:val="001D7F1C"/>
    <w:rsid w:val="001E3D67"/>
    <w:rsid w:val="001F217E"/>
    <w:rsid w:val="001F261C"/>
    <w:rsid w:val="001F30EE"/>
    <w:rsid w:val="001F4F6A"/>
    <w:rsid w:val="002119AE"/>
    <w:rsid w:val="00212EC7"/>
    <w:rsid w:val="00217DA9"/>
    <w:rsid w:val="0022034C"/>
    <w:rsid w:val="00222F1E"/>
    <w:rsid w:val="00222FB1"/>
    <w:rsid w:val="00230DCB"/>
    <w:rsid w:val="00231F1A"/>
    <w:rsid w:val="00232418"/>
    <w:rsid w:val="00243942"/>
    <w:rsid w:val="00252066"/>
    <w:rsid w:val="002765D7"/>
    <w:rsid w:val="00281D07"/>
    <w:rsid w:val="00285441"/>
    <w:rsid w:val="00286403"/>
    <w:rsid w:val="002877E7"/>
    <w:rsid w:val="002B081B"/>
    <w:rsid w:val="002C6E43"/>
    <w:rsid w:val="002D4623"/>
    <w:rsid w:val="002E14CE"/>
    <w:rsid w:val="002E36E4"/>
    <w:rsid w:val="00305968"/>
    <w:rsid w:val="003150AC"/>
    <w:rsid w:val="003166B2"/>
    <w:rsid w:val="00316FC5"/>
    <w:rsid w:val="003233AD"/>
    <w:rsid w:val="003262B4"/>
    <w:rsid w:val="00335ABA"/>
    <w:rsid w:val="00341CBD"/>
    <w:rsid w:val="00343A1A"/>
    <w:rsid w:val="00353336"/>
    <w:rsid w:val="0036464D"/>
    <w:rsid w:val="0036544C"/>
    <w:rsid w:val="00372702"/>
    <w:rsid w:val="003751E7"/>
    <w:rsid w:val="00381EFF"/>
    <w:rsid w:val="00394673"/>
    <w:rsid w:val="0039495B"/>
    <w:rsid w:val="003A1F5F"/>
    <w:rsid w:val="003A22C0"/>
    <w:rsid w:val="003A2D9C"/>
    <w:rsid w:val="003A49EA"/>
    <w:rsid w:val="003B61C2"/>
    <w:rsid w:val="003B6A9B"/>
    <w:rsid w:val="003C1654"/>
    <w:rsid w:val="003C2FEC"/>
    <w:rsid w:val="003D0FBD"/>
    <w:rsid w:val="003E7B7F"/>
    <w:rsid w:val="003F36AC"/>
    <w:rsid w:val="00401319"/>
    <w:rsid w:val="00407F88"/>
    <w:rsid w:val="00412B35"/>
    <w:rsid w:val="00417682"/>
    <w:rsid w:val="004367F9"/>
    <w:rsid w:val="00455A2D"/>
    <w:rsid w:val="004563C6"/>
    <w:rsid w:val="0046489F"/>
    <w:rsid w:val="00466216"/>
    <w:rsid w:val="0047250C"/>
    <w:rsid w:val="00473570"/>
    <w:rsid w:val="00473E65"/>
    <w:rsid w:val="00474D2B"/>
    <w:rsid w:val="00474E4C"/>
    <w:rsid w:val="00480865"/>
    <w:rsid w:val="00482EBA"/>
    <w:rsid w:val="004873BA"/>
    <w:rsid w:val="00492D85"/>
    <w:rsid w:val="004934D9"/>
    <w:rsid w:val="00496A36"/>
    <w:rsid w:val="004A020D"/>
    <w:rsid w:val="004A6D4B"/>
    <w:rsid w:val="004B27A1"/>
    <w:rsid w:val="004C3B41"/>
    <w:rsid w:val="004D0270"/>
    <w:rsid w:val="004D3EFB"/>
    <w:rsid w:val="004E7AFF"/>
    <w:rsid w:val="00515479"/>
    <w:rsid w:val="00516F2E"/>
    <w:rsid w:val="00522201"/>
    <w:rsid w:val="00542FB3"/>
    <w:rsid w:val="0056301C"/>
    <w:rsid w:val="00567835"/>
    <w:rsid w:val="00570DE2"/>
    <w:rsid w:val="00574797"/>
    <w:rsid w:val="00576212"/>
    <w:rsid w:val="005960C1"/>
    <w:rsid w:val="00596171"/>
    <w:rsid w:val="005C0871"/>
    <w:rsid w:val="005D2240"/>
    <w:rsid w:val="005D6E84"/>
    <w:rsid w:val="005E29F8"/>
    <w:rsid w:val="0061091E"/>
    <w:rsid w:val="00612B72"/>
    <w:rsid w:val="00616184"/>
    <w:rsid w:val="006218A3"/>
    <w:rsid w:val="00627680"/>
    <w:rsid w:val="00637748"/>
    <w:rsid w:val="00646080"/>
    <w:rsid w:val="00650BDE"/>
    <w:rsid w:val="006534A0"/>
    <w:rsid w:val="00653E14"/>
    <w:rsid w:val="0067376A"/>
    <w:rsid w:val="00677168"/>
    <w:rsid w:val="00695030"/>
    <w:rsid w:val="00696F44"/>
    <w:rsid w:val="006B62DC"/>
    <w:rsid w:val="006C11BE"/>
    <w:rsid w:val="006C7619"/>
    <w:rsid w:val="006D0D1C"/>
    <w:rsid w:val="006D5802"/>
    <w:rsid w:val="006E0CA3"/>
    <w:rsid w:val="006E6550"/>
    <w:rsid w:val="00700910"/>
    <w:rsid w:val="0070715D"/>
    <w:rsid w:val="00710666"/>
    <w:rsid w:val="00710B03"/>
    <w:rsid w:val="00711EC6"/>
    <w:rsid w:val="0071500C"/>
    <w:rsid w:val="00723334"/>
    <w:rsid w:val="0073513E"/>
    <w:rsid w:val="00737B28"/>
    <w:rsid w:val="00755123"/>
    <w:rsid w:val="0076749C"/>
    <w:rsid w:val="00767961"/>
    <w:rsid w:val="00775F55"/>
    <w:rsid w:val="00781624"/>
    <w:rsid w:val="007A4C29"/>
    <w:rsid w:val="007B7460"/>
    <w:rsid w:val="007C2450"/>
    <w:rsid w:val="007D0F19"/>
    <w:rsid w:val="007E120B"/>
    <w:rsid w:val="007E4CD9"/>
    <w:rsid w:val="007E6419"/>
    <w:rsid w:val="007F31E5"/>
    <w:rsid w:val="00816F36"/>
    <w:rsid w:val="00830338"/>
    <w:rsid w:val="008419A4"/>
    <w:rsid w:val="008469AA"/>
    <w:rsid w:val="00854A11"/>
    <w:rsid w:val="00855508"/>
    <w:rsid w:val="008702A0"/>
    <w:rsid w:val="008B6D43"/>
    <w:rsid w:val="008C2D41"/>
    <w:rsid w:val="008C2F1E"/>
    <w:rsid w:val="008C56C5"/>
    <w:rsid w:val="008D687B"/>
    <w:rsid w:val="008E79E6"/>
    <w:rsid w:val="008F058A"/>
    <w:rsid w:val="008F1901"/>
    <w:rsid w:val="008F4F22"/>
    <w:rsid w:val="00900C7F"/>
    <w:rsid w:val="00902704"/>
    <w:rsid w:val="00902D2E"/>
    <w:rsid w:val="00935843"/>
    <w:rsid w:val="00942BEF"/>
    <w:rsid w:val="00951B82"/>
    <w:rsid w:val="009540BF"/>
    <w:rsid w:val="00961018"/>
    <w:rsid w:val="009620FC"/>
    <w:rsid w:val="00962A0B"/>
    <w:rsid w:val="009667D6"/>
    <w:rsid w:val="009733AD"/>
    <w:rsid w:val="00975A5D"/>
    <w:rsid w:val="00983AB4"/>
    <w:rsid w:val="009853D8"/>
    <w:rsid w:val="009868EE"/>
    <w:rsid w:val="009968A1"/>
    <w:rsid w:val="009A3A98"/>
    <w:rsid w:val="009A70D0"/>
    <w:rsid w:val="009B046C"/>
    <w:rsid w:val="009C3BDA"/>
    <w:rsid w:val="009C57D9"/>
    <w:rsid w:val="009D0645"/>
    <w:rsid w:val="00A03761"/>
    <w:rsid w:val="00A04117"/>
    <w:rsid w:val="00A12418"/>
    <w:rsid w:val="00A14756"/>
    <w:rsid w:val="00A209CC"/>
    <w:rsid w:val="00A37B91"/>
    <w:rsid w:val="00A45DD5"/>
    <w:rsid w:val="00A46FB4"/>
    <w:rsid w:val="00A536CE"/>
    <w:rsid w:val="00A579AF"/>
    <w:rsid w:val="00A616A0"/>
    <w:rsid w:val="00A66CD4"/>
    <w:rsid w:val="00A73F93"/>
    <w:rsid w:val="00A804A9"/>
    <w:rsid w:val="00A83447"/>
    <w:rsid w:val="00A94E62"/>
    <w:rsid w:val="00A95E13"/>
    <w:rsid w:val="00AB3284"/>
    <w:rsid w:val="00AB35DA"/>
    <w:rsid w:val="00AB4702"/>
    <w:rsid w:val="00AB680E"/>
    <w:rsid w:val="00AC29F5"/>
    <w:rsid w:val="00AD150C"/>
    <w:rsid w:val="00AD450E"/>
    <w:rsid w:val="00AE3575"/>
    <w:rsid w:val="00AE3696"/>
    <w:rsid w:val="00AE36F1"/>
    <w:rsid w:val="00AF3F2F"/>
    <w:rsid w:val="00AF576F"/>
    <w:rsid w:val="00AF64B0"/>
    <w:rsid w:val="00B07ABE"/>
    <w:rsid w:val="00B14CCB"/>
    <w:rsid w:val="00B40C6F"/>
    <w:rsid w:val="00B419B2"/>
    <w:rsid w:val="00B4626F"/>
    <w:rsid w:val="00B55782"/>
    <w:rsid w:val="00B677B3"/>
    <w:rsid w:val="00B77BF7"/>
    <w:rsid w:val="00B81475"/>
    <w:rsid w:val="00B83CB2"/>
    <w:rsid w:val="00B84988"/>
    <w:rsid w:val="00B8F889"/>
    <w:rsid w:val="00B96B03"/>
    <w:rsid w:val="00B97F1E"/>
    <w:rsid w:val="00BA3CDA"/>
    <w:rsid w:val="00BB1F14"/>
    <w:rsid w:val="00BB2688"/>
    <w:rsid w:val="00BC62D5"/>
    <w:rsid w:val="00BD3FF5"/>
    <w:rsid w:val="00BE435E"/>
    <w:rsid w:val="00BF66D3"/>
    <w:rsid w:val="00C044B3"/>
    <w:rsid w:val="00C044EF"/>
    <w:rsid w:val="00C076E3"/>
    <w:rsid w:val="00C16407"/>
    <w:rsid w:val="00C22B4C"/>
    <w:rsid w:val="00C23244"/>
    <w:rsid w:val="00C32721"/>
    <w:rsid w:val="00C32EB6"/>
    <w:rsid w:val="00C35D63"/>
    <w:rsid w:val="00C3707F"/>
    <w:rsid w:val="00C4220E"/>
    <w:rsid w:val="00C47CFB"/>
    <w:rsid w:val="00C51567"/>
    <w:rsid w:val="00C530ED"/>
    <w:rsid w:val="00C558E2"/>
    <w:rsid w:val="00C55CA1"/>
    <w:rsid w:val="00C56544"/>
    <w:rsid w:val="00C61CB3"/>
    <w:rsid w:val="00C636AC"/>
    <w:rsid w:val="00C726D8"/>
    <w:rsid w:val="00C748A1"/>
    <w:rsid w:val="00C766A4"/>
    <w:rsid w:val="00C769D4"/>
    <w:rsid w:val="00C8099A"/>
    <w:rsid w:val="00C828A0"/>
    <w:rsid w:val="00C928B6"/>
    <w:rsid w:val="00CA0BD0"/>
    <w:rsid w:val="00CB029C"/>
    <w:rsid w:val="00CB1FC3"/>
    <w:rsid w:val="00CB7214"/>
    <w:rsid w:val="00CC0A92"/>
    <w:rsid w:val="00CD20C5"/>
    <w:rsid w:val="00CD31DB"/>
    <w:rsid w:val="00CD5EE9"/>
    <w:rsid w:val="00CE3CB6"/>
    <w:rsid w:val="00CE4E0A"/>
    <w:rsid w:val="00CE5030"/>
    <w:rsid w:val="00D40AC1"/>
    <w:rsid w:val="00D42C5C"/>
    <w:rsid w:val="00D47C7F"/>
    <w:rsid w:val="00D54849"/>
    <w:rsid w:val="00D56874"/>
    <w:rsid w:val="00D64687"/>
    <w:rsid w:val="00D71432"/>
    <w:rsid w:val="00D733F8"/>
    <w:rsid w:val="00D74132"/>
    <w:rsid w:val="00D76663"/>
    <w:rsid w:val="00DA1722"/>
    <w:rsid w:val="00DA45F0"/>
    <w:rsid w:val="00DB4F40"/>
    <w:rsid w:val="00DB5E75"/>
    <w:rsid w:val="00DC1EC8"/>
    <w:rsid w:val="00DC2D2A"/>
    <w:rsid w:val="00DD1DC5"/>
    <w:rsid w:val="00DD3DEA"/>
    <w:rsid w:val="00DD7AF1"/>
    <w:rsid w:val="00DE0023"/>
    <w:rsid w:val="00DE3B52"/>
    <w:rsid w:val="00DE5D40"/>
    <w:rsid w:val="00DF3136"/>
    <w:rsid w:val="00DF458B"/>
    <w:rsid w:val="00DF56ED"/>
    <w:rsid w:val="00E1041B"/>
    <w:rsid w:val="00E23762"/>
    <w:rsid w:val="00E42A2B"/>
    <w:rsid w:val="00E5313E"/>
    <w:rsid w:val="00E54144"/>
    <w:rsid w:val="00E567CA"/>
    <w:rsid w:val="00E65707"/>
    <w:rsid w:val="00E66DB6"/>
    <w:rsid w:val="00E678B5"/>
    <w:rsid w:val="00E719BB"/>
    <w:rsid w:val="00E77A11"/>
    <w:rsid w:val="00E8575F"/>
    <w:rsid w:val="00E93BAE"/>
    <w:rsid w:val="00E961BA"/>
    <w:rsid w:val="00EA3B12"/>
    <w:rsid w:val="00EC629A"/>
    <w:rsid w:val="00EC7068"/>
    <w:rsid w:val="00EE0F97"/>
    <w:rsid w:val="00EF2DAC"/>
    <w:rsid w:val="00F01E9F"/>
    <w:rsid w:val="00F02400"/>
    <w:rsid w:val="00F04E17"/>
    <w:rsid w:val="00F153A7"/>
    <w:rsid w:val="00F330AF"/>
    <w:rsid w:val="00F4366E"/>
    <w:rsid w:val="00F45870"/>
    <w:rsid w:val="00F530C7"/>
    <w:rsid w:val="00F60FB3"/>
    <w:rsid w:val="00F705EB"/>
    <w:rsid w:val="00F7264F"/>
    <w:rsid w:val="00F76361"/>
    <w:rsid w:val="00F84AC7"/>
    <w:rsid w:val="00F84DB6"/>
    <w:rsid w:val="00F90C38"/>
    <w:rsid w:val="00F97C24"/>
    <w:rsid w:val="00FB00D8"/>
    <w:rsid w:val="00FB3F11"/>
    <w:rsid w:val="00FD5C2F"/>
    <w:rsid w:val="00FF0BFE"/>
    <w:rsid w:val="00FF29EA"/>
    <w:rsid w:val="0400A62D"/>
    <w:rsid w:val="09112D11"/>
    <w:rsid w:val="098E2ED5"/>
    <w:rsid w:val="0AA49096"/>
    <w:rsid w:val="0B54680B"/>
    <w:rsid w:val="0F2DBD47"/>
    <w:rsid w:val="14EC4E7A"/>
    <w:rsid w:val="15ED140B"/>
    <w:rsid w:val="198AF375"/>
    <w:rsid w:val="1F4733BD"/>
    <w:rsid w:val="1FE10C9C"/>
    <w:rsid w:val="2280DEA8"/>
    <w:rsid w:val="22CCC603"/>
    <w:rsid w:val="260466C5"/>
    <w:rsid w:val="27C5DD81"/>
    <w:rsid w:val="2CB546F7"/>
    <w:rsid w:val="2CC38011"/>
    <w:rsid w:val="2D6F8A98"/>
    <w:rsid w:val="2F8C5F32"/>
    <w:rsid w:val="31DDEC03"/>
    <w:rsid w:val="338AC565"/>
    <w:rsid w:val="34118B1A"/>
    <w:rsid w:val="3899DF2B"/>
    <w:rsid w:val="3EE0A5DF"/>
    <w:rsid w:val="414C025F"/>
    <w:rsid w:val="4197E9BA"/>
    <w:rsid w:val="43D3A82D"/>
    <w:rsid w:val="4483A321"/>
    <w:rsid w:val="49BD2853"/>
    <w:rsid w:val="4A52F693"/>
    <w:rsid w:val="4B2E8D48"/>
    <w:rsid w:val="4BE6A798"/>
    <w:rsid w:val="4C3AAE4F"/>
    <w:rsid w:val="5343D31C"/>
    <w:rsid w:val="54DC92CB"/>
    <w:rsid w:val="59079ADD"/>
    <w:rsid w:val="5BDB83A9"/>
    <w:rsid w:val="6389A532"/>
    <w:rsid w:val="664170AB"/>
    <w:rsid w:val="67CE3144"/>
    <w:rsid w:val="68090F9E"/>
    <w:rsid w:val="690F1335"/>
    <w:rsid w:val="6B7E7AE8"/>
    <w:rsid w:val="6B92433F"/>
    <w:rsid w:val="6C4D9BB0"/>
    <w:rsid w:val="711003D2"/>
    <w:rsid w:val="729D2912"/>
    <w:rsid w:val="795ED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406980"/>
  <w15:docId w15:val="{741242BD-E181-4A8D-B61C-0D4CA39C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4" ma:contentTypeDescription="Create a new document." ma:contentTypeScope="" ma:versionID="6caef9425d5757bf8d7eada6db7f31b7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0950341f2800bae2657234beee7ceeb7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29C0D-21E2-4B2F-A7AC-303FF1058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72F20-BDC7-403C-A620-B13C61E09479}">
  <ds:schemaRefs>
    <ds:schemaRef ds:uri="http://purl.org/dc/dcmitype/"/>
    <ds:schemaRef ds:uri="http://www.w3.org/XML/1998/namespace"/>
    <ds:schemaRef ds:uri="http://schemas.microsoft.com/office/2006/documentManagement/types"/>
    <ds:schemaRef ds:uri="789345a1-ba9c-441e-91d3-d3fb9c534b1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92aa5d8-e75c-4377-a399-a539005626c7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Chilton</dc:creator>
  <cp:keywords/>
  <cp:lastModifiedBy>Andrea Chilton</cp:lastModifiedBy>
  <cp:revision>36</cp:revision>
  <cp:lastPrinted>2022-04-19T21:17:00Z</cp:lastPrinted>
  <dcterms:created xsi:type="dcterms:W3CDTF">2022-09-05T22:40:00Z</dcterms:created>
  <dcterms:modified xsi:type="dcterms:W3CDTF">2022-09-05T22:56:00Z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