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F046" w14:textId="77777777" w:rsidR="00BC31E0" w:rsidRPr="002C2DB0" w:rsidRDefault="0044792D" w:rsidP="003C0E3C">
      <w:pPr>
        <w:jc w:val="center"/>
        <w:rPr>
          <w:rFonts w:ascii="Arial" w:hAnsi="Arial" w:cs="Arial"/>
          <w:b/>
        </w:rPr>
      </w:pPr>
      <w:r w:rsidRPr="002C2DB0">
        <w:rPr>
          <w:rFonts w:ascii="Arial" w:hAnsi="Arial" w:cs="Arial"/>
          <w:b/>
        </w:rPr>
        <w:t>ESFA Risk Assessment</w:t>
      </w:r>
      <w:r w:rsidR="0003596B" w:rsidRPr="002C2DB0">
        <w:rPr>
          <w:rFonts w:ascii="Arial" w:hAnsi="Arial" w:cs="Arial"/>
          <w:b/>
        </w:rPr>
        <w:t xml:space="preserve"> </w:t>
      </w:r>
      <w:r w:rsidRPr="002C2DB0">
        <w:rPr>
          <w:rFonts w:ascii="Arial" w:hAnsi="Arial" w:cs="Arial"/>
          <w:b/>
        </w:rPr>
        <w:t>P</w:t>
      </w:r>
      <w:r w:rsidR="0003596B" w:rsidRPr="002C2DB0">
        <w:rPr>
          <w:rFonts w:ascii="Arial" w:hAnsi="Arial" w:cs="Arial"/>
          <w:b/>
        </w:rPr>
        <w:t>olicy</w:t>
      </w:r>
      <w:r w:rsidR="00303C63" w:rsidRPr="002C2DB0">
        <w:rPr>
          <w:rFonts w:ascii="Arial" w:hAnsi="Arial" w:cs="Arial"/>
          <w:b/>
        </w:rPr>
        <w:t xml:space="preserve"> -</w:t>
      </w:r>
    </w:p>
    <w:p w14:paraId="5B228219" w14:textId="77777777" w:rsidR="00303C63" w:rsidRPr="002C2DB0" w:rsidRDefault="00303C63" w:rsidP="003C0E3C">
      <w:pPr>
        <w:jc w:val="center"/>
        <w:rPr>
          <w:rFonts w:ascii="Arial" w:hAnsi="Arial" w:cs="Arial"/>
          <w:b/>
        </w:rPr>
      </w:pPr>
      <w:r w:rsidRPr="002C2DB0">
        <w:rPr>
          <w:rFonts w:ascii="Arial" w:hAnsi="Arial" w:cs="Arial"/>
          <w:b/>
        </w:rPr>
        <w:t>Member Associations</w:t>
      </w:r>
    </w:p>
    <w:p w14:paraId="55E5DCA9" w14:textId="77777777" w:rsidR="003C0E3C" w:rsidRPr="0044792D" w:rsidRDefault="0044792D" w:rsidP="00A026DE">
      <w:pPr>
        <w:pStyle w:val="NoSpacing"/>
        <w:spacing w:line="276" w:lineRule="auto"/>
        <w:rPr>
          <w:rFonts w:ascii="Arial" w:hAnsi="Arial" w:cs="Arial"/>
          <w:b/>
          <w:lang w:bidi="en-GB"/>
        </w:rPr>
      </w:pPr>
      <w:r w:rsidRPr="0044792D">
        <w:rPr>
          <w:rFonts w:ascii="Arial" w:hAnsi="Arial" w:cs="Arial"/>
          <w:b/>
          <w:lang w:bidi="en-GB"/>
        </w:rPr>
        <w:t>Purpose</w:t>
      </w:r>
    </w:p>
    <w:p w14:paraId="6E4F2897" w14:textId="77777777" w:rsidR="0044792D" w:rsidRDefault="0044792D" w:rsidP="00A026DE">
      <w:pPr>
        <w:pStyle w:val="NoSpacing"/>
        <w:spacing w:line="276" w:lineRule="auto"/>
        <w:rPr>
          <w:rFonts w:ascii="Arial" w:hAnsi="Arial" w:cs="Arial"/>
          <w:u w:val="single"/>
          <w:lang w:bidi="en-GB"/>
        </w:rPr>
      </w:pPr>
    </w:p>
    <w:p w14:paraId="6DD529F4" w14:textId="77777777" w:rsidR="0044792D" w:rsidRDefault="0044792D" w:rsidP="00A026DE">
      <w:pPr>
        <w:pStyle w:val="NoSpacing"/>
        <w:spacing w:line="276" w:lineRule="auto"/>
        <w:jc w:val="both"/>
        <w:rPr>
          <w:rFonts w:ascii="Arial" w:hAnsi="Arial" w:cs="Arial"/>
          <w:lang w:bidi="en-GB"/>
        </w:rPr>
      </w:pPr>
      <w:r>
        <w:rPr>
          <w:rFonts w:ascii="Arial" w:hAnsi="Arial" w:cs="Arial"/>
          <w:lang w:bidi="en-GB"/>
        </w:rPr>
        <w:t>The ESFA is committed to the safeguarding of children and expects the same from its Members, customers, partners and sponsors. This policy outlines the minimum expectations of risk assessment for schools’ football sanctioned by the ESFA, and for those activities for which ESFA permission to play is required.</w:t>
      </w:r>
    </w:p>
    <w:p w14:paraId="25B774A5" w14:textId="77777777" w:rsidR="0044792D" w:rsidRDefault="0044792D" w:rsidP="00A026DE">
      <w:pPr>
        <w:pStyle w:val="NoSpacing"/>
        <w:spacing w:line="276" w:lineRule="auto"/>
        <w:rPr>
          <w:rFonts w:ascii="Arial" w:hAnsi="Arial" w:cs="Arial"/>
          <w:lang w:bidi="en-GB"/>
        </w:rPr>
      </w:pPr>
    </w:p>
    <w:p w14:paraId="0A02B34A" w14:textId="77777777" w:rsidR="0044792D" w:rsidRDefault="0044792D" w:rsidP="00A026DE">
      <w:pPr>
        <w:pStyle w:val="NoSpacing"/>
        <w:spacing w:line="276" w:lineRule="auto"/>
        <w:rPr>
          <w:rFonts w:ascii="Arial" w:hAnsi="Arial" w:cs="Arial"/>
          <w:lang w:bidi="en-GB"/>
        </w:rPr>
      </w:pPr>
    </w:p>
    <w:p w14:paraId="24A4CD17" w14:textId="77777777" w:rsidR="0044792D" w:rsidRPr="0044792D" w:rsidRDefault="0044792D" w:rsidP="00A026DE">
      <w:pPr>
        <w:pStyle w:val="NoSpacing"/>
        <w:spacing w:line="276" w:lineRule="auto"/>
        <w:rPr>
          <w:rFonts w:ascii="Arial" w:hAnsi="Arial" w:cs="Arial"/>
          <w:b/>
          <w:lang w:bidi="en-GB"/>
        </w:rPr>
      </w:pPr>
      <w:r w:rsidRPr="0044792D">
        <w:rPr>
          <w:rFonts w:ascii="Arial" w:hAnsi="Arial" w:cs="Arial"/>
          <w:b/>
          <w:lang w:bidi="en-GB"/>
        </w:rPr>
        <w:t>Policy</w:t>
      </w:r>
    </w:p>
    <w:p w14:paraId="615CAF77" w14:textId="77777777" w:rsidR="0044792D" w:rsidRDefault="0044792D" w:rsidP="00A026DE">
      <w:pPr>
        <w:pStyle w:val="NoSpacing"/>
        <w:spacing w:line="276" w:lineRule="auto"/>
        <w:rPr>
          <w:rFonts w:ascii="Arial" w:hAnsi="Arial" w:cs="Arial"/>
          <w:lang w:bidi="en-GB"/>
        </w:rPr>
      </w:pPr>
    </w:p>
    <w:p w14:paraId="3BC44657" w14:textId="77777777" w:rsidR="003C0E3C" w:rsidRDefault="0044792D" w:rsidP="00A026DE">
      <w:pPr>
        <w:pStyle w:val="NoSpacing"/>
        <w:spacing w:line="276" w:lineRule="auto"/>
        <w:jc w:val="both"/>
        <w:rPr>
          <w:rFonts w:ascii="Arial" w:hAnsi="Arial" w:cs="Arial"/>
          <w:lang w:bidi="en-GB"/>
        </w:rPr>
      </w:pPr>
      <w:r>
        <w:rPr>
          <w:rFonts w:ascii="Arial" w:hAnsi="Arial" w:cs="Arial"/>
          <w:lang w:bidi="en-GB"/>
        </w:rPr>
        <w:t xml:space="preserve">Risk assessment is the means by which threats and hazards to participants can be identified and for which mitigating actions can be planned. The ESFA requires all activity delivered under its auspices to be proportionately risk assessed, ensuring that each member Association seeks to fulfil its duty to safeguard children and young people under its supervision. </w:t>
      </w:r>
      <w:r w:rsidR="003C0E3C" w:rsidRPr="006523E8">
        <w:rPr>
          <w:rFonts w:ascii="Arial" w:hAnsi="Arial" w:cs="Arial"/>
          <w:lang w:bidi="en-GB"/>
        </w:rPr>
        <w:t>It is intended to help Associations ensure that the safety and welfare of children and young people is the paramount consideration within the planning and delivery of all footballing</w:t>
      </w:r>
      <w:r>
        <w:rPr>
          <w:rFonts w:ascii="Arial" w:hAnsi="Arial" w:cs="Arial"/>
          <w:lang w:bidi="en-GB"/>
        </w:rPr>
        <w:t xml:space="preserve"> activities.</w:t>
      </w:r>
    </w:p>
    <w:p w14:paraId="73CB56D6" w14:textId="77777777" w:rsidR="0044792D" w:rsidRDefault="0044792D" w:rsidP="00A026DE">
      <w:pPr>
        <w:pStyle w:val="NoSpacing"/>
        <w:spacing w:line="276" w:lineRule="auto"/>
        <w:jc w:val="both"/>
        <w:rPr>
          <w:rFonts w:ascii="Arial" w:hAnsi="Arial" w:cs="Arial"/>
          <w:lang w:bidi="en-GB"/>
        </w:rPr>
      </w:pPr>
    </w:p>
    <w:p w14:paraId="5ACF4AC6" w14:textId="77777777" w:rsidR="0044792D" w:rsidRPr="006523E8" w:rsidRDefault="0044792D" w:rsidP="00A026DE">
      <w:pPr>
        <w:spacing w:after="0"/>
        <w:jc w:val="both"/>
        <w:rPr>
          <w:rFonts w:ascii="Arial" w:hAnsi="Arial" w:cs="Arial"/>
          <w:szCs w:val="26"/>
        </w:rPr>
      </w:pPr>
      <w:r>
        <w:rPr>
          <w:rFonts w:ascii="Arial" w:hAnsi="Arial" w:cs="Arial"/>
          <w:lang w:bidi="en-GB"/>
        </w:rPr>
        <w:t xml:space="preserve">Consequently, risk assessment is required </w:t>
      </w:r>
      <w:r w:rsidRPr="00FF66F2">
        <w:rPr>
          <w:rFonts w:ascii="Arial" w:hAnsi="Arial" w:cs="Arial"/>
          <w:szCs w:val="26"/>
        </w:rPr>
        <w:t xml:space="preserve">whenever you </w:t>
      </w:r>
      <w:r>
        <w:rPr>
          <w:rFonts w:ascii="Arial" w:hAnsi="Arial" w:cs="Arial"/>
          <w:szCs w:val="26"/>
        </w:rPr>
        <w:t>activities ma</w:t>
      </w:r>
      <w:r w:rsidRPr="00FF66F2">
        <w:rPr>
          <w:rFonts w:ascii="Arial" w:hAnsi="Arial" w:cs="Arial"/>
          <w:szCs w:val="26"/>
        </w:rPr>
        <w:t>y have U18</w:t>
      </w:r>
      <w:r>
        <w:rPr>
          <w:rFonts w:ascii="Arial" w:hAnsi="Arial" w:cs="Arial"/>
          <w:szCs w:val="26"/>
        </w:rPr>
        <w:t>s</w:t>
      </w:r>
      <w:r w:rsidRPr="00FF66F2">
        <w:rPr>
          <w:rFonts w:ascii="Arial" w:hAnsi="Arial" w:cs="Arial"/>
          <w:szCs w:val="26"/>
        </w:rPr>
        <w:t xml:space="preserve"> in attendance. For example:</w:t>
      </w:r>
    </w:p>
    <w:p w14:paraId="5D7471A8" w14:textId="77777777" w:rsidR="0044792D" w:rsidRPr="00FF66F2" w:rsidRDefault="0044792D" w:rsidP="00A026DE">
      <w:pPr>
        <w:spacing w:after="0"/>
        <w:jc w:val="both"/>
        <w:rPr>
          <w:rFonts w:ascii="Arial" w:hAnsi="Arial" w:cs="Arial"/>
          <w:szCs w:val="26"/>
        </w:rPr>
      </w:pPr>
    </w:p>
    <w:p w14:paraId="5739312B" w14:textId="77777777" w:rsidR="0044792D" w:rsidRPr="00FF66F2" w:rsidRDefault="0044792D" w:rsidP="00A026DE">
      <w:pPr>
        <w:numPr>
          <w:ilvl w:val="0"/>
          <w:numId w:val="3"/>
        </w:numPr>
        <w:spacing w:after="0"/>
        <w:jc w:val="both"/>
        <w:rPr>
          <w:rFonts w:ascii="Arial" w:hAnsi="Arial" w:cs="Arial"/>
          <w:szCs w:val="26"/>
        </w:rPr>
      </w:pPr>
      <w:r w:rsidRPr="00FF66F2">
        <w:rPr>
          <w:rFonts w:ascii="Arial" w:hAnsi="Arial" w:cs="Arial"/>
          <w:szCs w:val="26"/>
        </w:rPr>
        <w:t>All activities involving young people o</w:t>
      </w:r>
      <w:r w:rsidRPr="006523E8">
        <w:rPr>
          <w:rFonts w:ascii="Arial" w:hAnsi="Arial" w:cs="Arial"/>
          <w:szCs w:val="26"/>
        </w:rPr>
        <w:t>r</w:t>
      </w:r>
      <w:r w:rsidRPr="00FF66F2">
        <w:rPr>
          <w:rFonts w:ascii="Arial" w:hAnsi="Arial" w:cs="Arial"/>
          <w:szCs w:val="26"/>
        </w:rPr>
        <w:t xml:space="preserve"> vulnerable adults on the premises</w:t>
      </w:r>
      <w:r w:rsidRPr="006523E8">
        <w:rPr>
          <w:rFonts w:ascii="Arial" w:hAnsi="Arial" w:cs="Arial"/>
          <w:szCs w:val="26"/>
        </w:rPr>
        <w:t>, including training and matches</w:t>
      </w:r>
    </w:p>
    <w:p w14:paraId="4820111E" w14:textId="77777777" w:rsidR="0044792D" w:rsidRPr="00FF66F2" w:rsidRDefault="0044792D" w:rsidP="00A026DE">
      <w:pPr>
        <w:numPr>
          <w:ilvl w:val="0"/>
          <w:numId w:val="3"/>
        </w:numPr>
        <w:spacing w:after="0"/>
        <w:jc w:val="both"/>
        <w:rPr>
          <w:rFonts w:ascii="Arial" w:hAnsi="Arial" w:cs="Arial"/>
          <w:szCs w:val="26"/>
        </w:rPr>
      </w:pPr>
      <w:r w:rsidRPr="00FF66F2">
        <w:rPr>
          <w:rFonts w:ascii="Arial" w:hAnsi="Arial" w:cs="Arial"/>
          <w:szCs w:val="26"/>
        </w:rPr>
        <w:t>Meetings on site involving young people</w:t>
      </w:r>
    </w:p>
    <w:p w14:paraId="113D8537" w14:textId="77777777" w:rsidR="0044792D" w:rsidRPr="00FF66F2" w:rsidRDefault="0044792D" w:rsidP="00A026DE">
      <w:pPr>
        <w:numPr>
          <w:ilvl w:val="0"/>
          <w:numId w:val="3"/>
        </w:numPr>
        <w:spacing w:after="0"/>
        <w:jc w:val="both"/>
        <w:rPr>
          <w:rFonts w:ascii="Arial" w:hAnsi="Arial" w:cs="Arial"/>
          <w:szCs w:val="26"/>
        </w:rPr>
      </w:pPr>
      <w:r w:rsidRPr="00FF66F2">
        <w:rPr>
          <w:rFonts w:ascii="Arial" w:hAnsi="Arial" w:cs="Arial"/>
          <w:szCs w:val="26"/>
        </w:rPr>
        <w:t>Cup finals at external venues</w:t>
      </w:r>
    </w:p>
    <w:p w14:paraId="002C563E" w14:textId="77777777" w:rsidR="0044792D" w:rsidRPr="00FF66F2" w:rsidRDefault="0044792D" w:rsidP="00A026DE">
      <w:pPr>
        <w:numPr>
          <w:ilvl w:val="0"/>
          <w:numId w:val="3"/>
        </w:numPr>
        <w:spacing w:after="0"/>
        <w:jc w:val="both"/>
        <w:rPr>
          <w:rFonts w:ascii="Arial" w:hAnsi="Arial" w:cs="Arial"/>
          <w:szCs w:val="26"/>
        </w:rPr>
      </w:pPr>
      <w:r w:rsidRPr="00FF66F2">
        <w:rPr>
          <w:rFonts w:ascii="Arial" w:hAnsi="Arial" w:cs="Arial"/>
          <w:szCs w:val="26"/>
        </w:rPr>
        <w:t>Festivals and tournaments</w:t>
      </w:r>
    </w:p>
    <w:p w14:paraId="3FF53209" w14:textId="77777777" w:rsidR="0044792D" w:rsidRPr="00FF66F2" w:rsidRDefault="0044792D" w:rsidP="00A026DE">
      <w:pPr>
        <w:numPr>
          <w:ilvl w:val="0"/>
          <w:numId w:val="3"/>
        </w:numPr>
        <w:spacing w:after="0"/>
        <w:jc w:val="both"/>
        <w:rPr>
          <w:rFonts w:ascii="Arial" w:hAnsi="Arial" w:cs="Arial"/>
          <w:szCs w:val="26"/>
        </w:rPr>
      </w:pPr>
      <w:r w:rsidRPr="00FF66F2">
        <w:rPr>
          <w:rFonts w:ascii="Arial" w:hAnsi="Arial" w:cs="Arial"/>
          <w:szCs w:val="26"/>
        </w:rPr>
        <w:t>International events and overseas trips</w:t>
      </w:r>
    </w:p>
    <w:p w14:paraId="3C8D4EE0" w14:textId="77777777" w:rsidR="0044792D" w:rsidRPr="006523E8" w:rsidRDefault="0044792D" w:rsidP="00A026DE">
      <w:pPr>
        <w:pStyle w:val="ListParagraph"/>
        <w:numPr>
          <w:ilvl w:val="0"/>
          <w:numId w:val="3"/>
        </w:numPr>
        <w:jc w:val="both"/>
        <w:rPr>
          <w:rFonts w:ascii="Arial" w:hAnsi="Arial" w:cs="Arial"/>
          <w:szCs w:val="26"/>
        </w:rPr>
      </w:pPr>
      <w:r w:rsidRPr="006523E8">
        <w:rPr>
          <w:rFonts w:ascii="Arial" w:hAnsi="Arial" w:cs="Arial"/>
          <w:szCs w:val="26"/>
        </w:rPr>
        <w:t>Any overnight trips organised by your Association</w:t>
      </w:r>
      <w:r w:rsidRPr="006523E8">
        <w:rPr>
          <w:rFonts w:ascii="Arial" w:hAnsi="Arial" w:cs="Arial"/>
          <w:szCs w:val="26"/>
        </w:rPr>
        <w:tab/>
      </w:r>
    </w:p>
    <w:p w14:paraId="1417B3CE" w14:textId="77777777" w:rsidR="00AE7E44" w:rsidRDefault="00AE7E44" w:rsidP="00A026DE">
      <w:pPr>
        <w:pStyle w:val="NoSpacing"/>
        <w:spacing w:line="276" w:lineRule="auto"/>
        <w:jc w:val="both"/>
        <w:rPr>
          <w:rFonts w:ascii="Arial" w:hAnsi="Arial" w:cs="Arial"/>
          <w:lang w:bidi="en-GB"/>
        </w:rPr>
      </w:pPr>
      <w:r>
        <w:rPr>
          <w:rFonts w:ascii="Arial" w:hAnsi="Arial" w:cs="Arial"/>
          <w:lang w:bidi="en-GB"/>
        </w:rPr>
        <w:t>It is good practice to review the risk assessment after the event has concluded and the ESFA recommends that all its Members adopt this practice as a matter of course.</w:t>
      </w:r>
    </w:p>
    <w:p w14:paraId="6C59A3CD" w14:textId="77777777" w:rsidR="00AE7E44" w:rsidRDefault="00AE7E44" w:rsidP="00A026DE">
      <w:pPr>
        <w:pStyle w:val="NoSpacing"/>
        <w:spacing w:line="276" w:lineRule="auto"/>
        <w:jc w:val="both"/>
        <w:rPr>
          <w:rFonts w:ascii="Arial" w:hAnsi="Arial" w:cs="Arial"/>
          <w:lang w:bidi="en-GB"/>
        </w:rPr>
      </w:pPr>
    </w:p>
    <w:p w14:paraId="45EDD1A1" w14:textId="25083105" w:rsidR="00A026DE" w:rsidRDefault="0044792D" w:rsidP="00A026DE">
      <w:pPr>
        <w:pStyle w:val="NoSpacing"/>
        <w:spacing w:line="276" w:lineRule="auto"/>
        <w:jc w:val="both"/>
        <w:rPr>
          <w:rFonts w:ascii="Arial" w:hAnsi="Arial" w:cs="Arial"/>
          <w:lang w:bidi="en-GB"/>
        </w:rPr>
      </w:pPr>
      <w:r>
        <w:rPr>
          <w:rFonts w:ascii="Arial" w:hAnsi="Arial" w:cs="Arial"/>
          <w:lang w:bidi="en-GB"/>
        </w:rPr>
        <w:t>In line with the principles of risk assessment, the more complex the event, the more detailed the risk assessment should be. This policy provides templates containing the minimum expectation of risk assessment in the most commonly occurring schools’ football activities.</w:t>
      </w:r>
      <w:r w:rsidR="002C2DB0">
        <w:rPr>
          <w:rFonts w:ascii="Arial" w:hAnsi="Arial" w:cs="Arial"/>
          <w:lang w:bidi="en-GB"/>
        </w:rPr>
        <w:t xml:space="preserve"> </w:t>
      </w:r>
      <w:r w:rsidR="00AE7E44">
        <w:rPr>
          <w:rFonts w:ascii="Arial" w:hAnsi="Arial" w:cs="Arial"/>
          <w:lang w:bidi="en-GB"/>
        </w:rPr>
        <w:t xml:space="preserve"> </w:t>
      </w:r>
      <w:r w:rsidR="00A026DE" w:rsidRPr="006523E8">
        <w:rPr>
          <w:rFonts w:ascii="Arial" w:hAnsi="Arial" w:cs="Arial"/>
          <w:lang w:bidi="en-GB"/>
        </w:rPr>
        <w:t xml:space="preserve">For the avoidance of doubt, an Association should consider all relevant factors when carrying out a risk assessment and the factors listed </w:t>
      </w:r>
      <w:r w:rsidR="00A026DE">
        <w:rPr>
          <w:rFonts w:ascii="Arial" w:hAnsi="Arial" w:cs="Arial"/>
          <w:lang w:bidi="en-GB"/>
        </w:rPr>
        <w:t>in the templates are neither exhaustive nor restrictive</w:t>
      </w:r>
      <w:r w:rsidR="00A026DE" w:rsidRPr="006523E8">
        <w:rPr>
          <w:rFonts w:ascii="Arial" w:hAnsi="Arial" w:cs="Arial"/>
          <w:lang w:bidi="en-GB"/>
        </w:rPr>
        <w:t>. Your Association should therefore consider whether each of the factors listed is relevant in any given situation and whether any additional factors which are not listed in the template are relevant.</w:t>
      </w:r>
      <w:r w:rsidR="002C2DB0">
        <w:rPr>
          <w:rFonts w:ascii="Arial" w:hAnsi="Arial" w:cs="Arial"/>
          <w:lang w:bidi="en-GB"/>
        </w:rPr>
        <w:t xml:space="preserve"> You may use an alternative template (for example, one used by a local school) as long as it contains at least the factors outlined in the ESFA’s templates.</w:t>
      </w:r>
    </w:p>
    <w:p w14:paraId="464D5220" w14:textId="77777777" w:rsidR="002C2DB0" w:rsidRDefault="002C2DB0" w:rsidP="00A026DE">
      <w:pPr>
        <w:pStyle w:val="NoSpacing"/>
        <w:spacing w:line="276" w:lineRule="auto"/>
        <w:jc w:val="both"/>
        <w:rPr>
          <w:rFonts w:ascii="Arial" w:hAnsi="Arial" w:cs="Arial"/>
          <w:lang w:bidi="en-GB"/>
        </w:rPr>
      </w:pPr>
    </w:p>
    <w:p w14:paraId="5E65564A" w14:textId="77777777" w:rsidR="00A026DE" w:rsidRPr="006523E8" w:rsidRDefault="00A026DE" w:rsidP="00A026DE">
      <w:pPr>
        <w:pStyle w:val="NoSpacing"/>
        <w:spacing w:line="276" w:lineRule="auto"/>
        <w:jc w:val="both"/>
        <w:rPr>
          <w:rFonts w:ascii="Arial" w:hAnsi="Arial" w:cs="Arial"/>
          <w:lang w:bidi="en-GB"/>
        </w:rPr>
      </w:pPr>
      <w:r>
        <w:rPr>
          <w:rFonts w:ascii="Arial" w:hAnsi="Arial" w:cs="Arial"/>
          <w:lang w:bidi="en-GB"/>
        </w:rPr>
        <w:t xml:space="preserve">Please note that any application for sanction </w:t>
      </w:r>
      <w:r w:rsidRPr="00A026DE">
        <w:rPr>
          <w:rFonts w:ascii="Arial" w:hAnsi="Arial" w:cs="Arial"/>
          <w:b/>
          <w:lang w:bidi="en-GB"/>
        </w:rPr>
        <w:t>must</w:t>
      </w:r>
      <w:r>
        <w:rPr>
          <w:rFonts w:ascii="Arial" w:hAnsi="Arial" w:cs="Arial"/>
          <w:lang w:bidi="en-GB"/>
        </w:rPr>
        <w:t xml:space="preserve"> be accompanied by the relevant risk assessment.</w:t>
      </w:r>
    </w:p>
    <w:p w14:paraId="70AC4473" w14:textId="77777777" w:rsidR="0044792D" w:rsidRDefault="0044792D" w:rsidP="00A026DE">
      <w:pPr>
        <w:pStyle w:val="NoSpacing"/>
        <w:spacing w:line="276" w:lineRule="auto"/>
        <w:rPr>
          <w:rFonts w:ascii="Arial" w:hAnsi="Arial" w:cs="Arial"/>
          <w:b/>
          <w:lang w:bidi="en-GB"/>
        </w:rPr>
      </w:pPr>
      <w:r>
        <w:rPr>
          <w:rFonts w:ascii="Arial" w:hAnsi="Arial" w:cs="Arial"/>
          <w:b/>
          <w:lang w:bidi="en-GB"/>
        </w:rPr>
        <w:lastRenderedPageBreak/>
        <w:t>Responsibility</w:t>
      </w:r>
    </w:p>
    <w:p w14:paraId="1BCADB60" w14:textId="77777777" w:rsidR="0044792D" w:rsidRDefault="0044792D" w:rsidP="00A026DE">
      <w:pPr>
        <w:pStyle w:val="NoSpacing"/>
        <w:spacing w:line="276" w:lineRule="auto"/>
        <w:rPr>
          <w:rFonts w:ascii="Arial" w:hAnsi="Arial" w:cs="Arial"/>
          <w:b/>
          <w:lang w:bidi="en-GB"/>
        </w:rPr>
      </w:pPr>
    </w:p>
    <w:p w14:paraId="504EC56B" w14:textId="77777777" w:rsidR="0044792D" w:rsidRDefault="0044792D" w:rsidP="00A026DE">
      <w:pPr>
        <w:pStyle w:val="NoSpacing"/>
        <w:spacing w:line="276" w:lineRule="auto"/>
        <w:jc w:val="both"/>
        <w:rPr>
          <w:rFonts w:ascii="Arial" w:hAnsi="Arial" w:cs="Arial"/>
          <w:lang w:bidi="en-GB"/>
        </w:rPr>
      </w:pPr>
      <w:r>
        <w:rPr>
          <w:rFonts w:ascii="Arial" w:hAnsi="Arial" w:cs="Arial"/>
          <w:lang w:bidi="en-GB"/>
        </w:rPr>
        <w:t>Risk assessment is your responsibility, unless you are jointly delivering with someone else (including for example at an external</w:t>
      </w:r>
      <w:r w:rsidR="00A026DE">
        <w:rPr>
          <w:rFonts w:ascii="Arial" w:hAnsi="Arial" w:cs="Arial"/>
          <w:lang w:bidi="en-GB"/>
        </w:rPr>
        <w:t xml:space="preserve"> venue), when risk assessments </w:t>
      </w:r>
      <w:r>
        <w:rPr>
          <w:rFonts w:ascii="Arial" w:hAnsi="Arial" w:cs="Arial"/>
          <w:lang w:bidi="en-GB"/>
        </w:rPr>
        <w:t>should be jointly conducted, with individual responsibilities agreed</w:t>
      </w:r>
      <w:r w:rsidR="00A026DE">
        <w:rPr>
          <w:rFonts w:ascii="Arial" w:hAnsi="Arial" w:cs="Arial"/>
          <w:lang w:bidi="en-GB"/>
        </w:rPr>
        <w:t>, specifically for safeguarding. Make sure these are agreed, documented and shared</w:t>
      </w:r>
      <w:r>
        <w:rPr>
          <w:rFonts w:ascii="Arial" w:hAnsi="Arial" w:cs="Arial"/>
          <w:lang w:bidi="en-GB"/>
        </w:rPr>
        <w:t>.</w:t>
      </w:r>
      <w:r w:rsidR="00AE7E44">
        <w:rPr>
          <w:rFonts w:ascii="Arial" w:hAnsi="Arial" w:cs="Arial"/>
          <w:lang w:bidi="en-GB"/>
        </w:rPr>
        <w:t xml:space="preserve"> In the event that the Association pays for a service, such as venue hire, ensure that the risk assessment forms part of any conditions of payment or formal agreement.</w:t>
      </w:r>
    </w:p>
    <w:p w14:paraId="78F88803" w14:textId="77777777" w:rsidR="00A026DE" w:rsidRDefault="00A026DE" w:rsidP="00A026DE">
      <w:pPr>
        <w:pStyle w:val="NoSpacing"/>
        <w:spacing w:line="276" w:lineRule="auto"/>
        <w:jc w:val="both"/>
        <w:rPr>
          <w:rFonts w:ascii="Arial" w:hAnsi="Arial" w:cs="Arial"/>
          <w:lang w:bidi="en-GB"/>
        </w:rPr>
      </w:pPr>
    </w:p>
    <w:p w14:paraId="7186DBBD" w14:textId="77777777" w:rsidR="003C0E3C" w:rsidRDefault="008A18F9" w:rsidP="00AE7E44">
      <w:pPr>
        <w:pStyle w:val="NoSpacing"/>
        <w:spacing w:line="276" w:lineRule="auto"/>
        <w:jc w:val="both"/>
        <w:rPr>
          <w:rFonts w:ascii="Arial" w:hAnsi="Arial" w:cs="Arial"/>
        </w:rPr>
      </w:pPr>
      <w:r w:rsidRPr="006523E8">
        <w:rPr>
          <w:rFonts w:ascii="Arial" w:hAnsi="Arial" w:cs="Arial"/>
        </w:rPr>
        <w:t>Assessing risk requires knowledge of the activities</w:t>
      </w:r>
      <w:r w:rsidR="00AE7E44">
        <w:rPr>
          <w:rFonts w:ascii="Arial" w:hAnsi="Arial" w:cs="Arial"/>
        </w:rPr>
        <w:t xml:space="preserve"> so it is essential that the templates are used as a prompt, not </w:t>
      </w:r>
      <w:r w:rsidR="00303C63">
        <w:rPr>
          <w:rFonts w:ascii="Arial" w:hAnsi="Arial" w:cs="Arial"/>
        </w:rPr>
        <w:t xml:space="preserve">as </w:t>
      </w:r>
      <w:r w:rsidR="00AE7E44">
        <w:rPr>
          <w:rFonts w:ascii="Arial" w:hAnsi="Arial" w:cs="Arial"/>
        </w:rPr>
        <w:t xml:space="preserve">a proxy for individual events, </w:t>
      </w:r>
      <w:r w:rsidR="004F286A" w:rsidRPr="006523E8">
        <w:rPr>
          <w:rFonts w:ascii="Arial" w:hAnsi="Arial" w:cs="Arial"/>
        </w:rPr>
        <w:t xml:space="preserve">and the volunteers who will be running the event </w:t>
      </w:r>
      <w:r w:rsidR="00303C63">
        <w:rPr>
          <w:rFonts w:ascii="Arial" w:hAnsi="Arial" w:cs="Arial"/>
        </w:rPr>
        <w:t>are</w:t>
      </w:r>
      <w:r w:rsidR="004F286A" w:rsidRPr="006523E8">
        <w:rPr>
          <w:rFonts w:ascii="Arial" w:hAnsi="Arial" w:cs="Arial"/>
        </w:rPr>
        <w:t xml:space="preserve"> be involved in preparing the risk assessment.</w:t>
      </w:r>
    </w:p>
    <w:p w14:paraId="5DA8DD37" w14:textId="77777777" w:rsidR="00AE7E44" w:rsidRDefault="00AE7E44" w:rsidP="00AE7E44">
      <w:pPr>
        <w:pStyle w:val="NoSpacing"/>
        <w:spacing w:line="276" w:lineRule="auto"/>
        <w:jc w:val="both"/>
        <w:rPr>
          <w:rFonts w:ascii="Arial" w:hAnsi="Arial" w:cs="Arial"/>
        </w:rPr>
      </w:pPr>
    </w:p>
    <w:p w14:paraId="323B750D" w14:textId="77777777" w:rsidR="00AE7E44" w:rsidRDefault="00AE7E44" w:rsidP="00AE7E44">
      <w:pPr>
        <w:pStyle w:val="NoSpacing"/>
        <w:spacing w:line="276" w:lineRule="auto"/>
        <w:jc w:val="both"/>
        <w:rPr>
          <w:rFonts w:ascii="Arial" w:hAnsi="Arial" w:cs="Arial"/>
        </w:rPr>
      </w:pPr>
      <w:r>
        <w:rPr>
          <w:rFonts w:ascii="Arial" w:hAnsi="Arial" w:cs="Arial"/>
        </w:rPr>
        <w:t xml:space="preserve">You </w:t>
      </w:r>
      <w:r w:rsidR="00303C63">
        <w:rPr>
          <w:rFonts w:ascii="Arial" w:hAnsi="Arial" w:cs="Arial"/>
        </w:rPr>
        <w:t>must</w:t>
      </w:r>
      <w:r>
        <w:rPr>
          <w:rFonts w:ascii="Arial" w:hAnsi="Arial" w:cs="Arial"/>
        </w:rPr>
        <w:t xml:space="preserve"> ensure that there are arrangements within your Association for someone independent to the compiler of the risk assessment to review its rigour. This can be by Committee, by someone individually who is appropriately competent or by a third party such as a child welfare/health and safety expert in one of your member schools.</w:t>
      </w:r>
    </w:p>
    <w:p w14:paraId="2E06470B" w14:textId="77777777" w:rsidR="00AE7E44" w:rsidRDefault="00AE7E44" w:rsidP="00AE7E44">
      <w:pPr>
        <w:pStyle w:val="NoSpacing"/>
        <w:spacing w:line="276" w:lineRule="auto"/>
        <w:jc w:val="both"/>
        <w:rPr>
          <w:rFonts w:ascii="Arial" w:hAnsi="Arial" w:cs="Arial"/>
        </w:rPr>
      </w:pPr>
    </w:p>
    <w:p w14:paraId="41E04A3C" w14:textId="77777777" w:rsidR="00303C63" w:rsidRDefault="00303C63" w:rsidP="00AE7E44">
      <w:pPr>
        <w:pStyle w:val="NoSpacing"/>
        <w:spacing w:line="276" w:lineRule="auto"/>
        <w:jc w:val="both"/>
        <w:rPr>
          <w:rFonts w:ascii="Arial" w:hAnsi="Arial" w:cs="Arial"/>
        </w:rPr>
      </w:pPr>
    </w:p>
    <w:p w14:paraId="548CC673" w14:textId="77777777" w:rsidR="00AE7E44" w:rsidRDefault="00303C63" w:rsidP="00AE7E44">
      <w:pPr>
        <w:pStyle w:val="NoSpacing"/>
        <w:spacing w:line="276" w:lineRule="auto"/>
        <w:jc w:val="both"/>
        <w:rPr>
          <w:rFonts w:ascii="Arial" w:hAnsi="Arial" w:cs="Arial"/>
          <w:b/>
        </w:rPr>
      </w:pPr>
      <w:r w:rsidRPr="00303C63">
        <w:rPr>
          <w:rFonts w:ascii="Arial" w:hAnsi="Arial" w:cs="Arial"/>
          <w:b/>
        </w:rPr>
        <w:t>Selecting your risk assessment template</w:t>
      </w:r>
    </w:p>
    <w:p w14:paraId="37A5FDC6" w14:textId="77777777" w:rsidR="00303C63" w:rsidRDefault="00303C63" w:rsidP="00AE7E44">
      <w:pPr>
        <w:pStyle w:val="NoSpacing"/>
        <w:spacing w:line="276" w:lineRule="auto"/>
        <w:jc w:val="both"/>
        <w:rPr>
          <w:rFonts w:ascii="Arial" w:hAnsi="Arial" w:cs="Arial"/>
          <w:b/>
        </w:rPr>
      </w:pPr>
    </w:p>
    <w:p w14:paraId="76056028" w14:textId="77777777" w:rsidR="00303C63" w:rsidRDefault="00303C63" w:rsidP="00303C63">
      <w:pPr>
        <w:pStyle w:val="NoSpacing"/>
        <w:spacing w:line="276" w:lineRule="auto"/>
        <w:jc w:val="both"/>
        <w:rPr>
          <w:rFonts w:ascii="Arial" w:hAnsi="Arial" w:cs="Arial"/>
        </w:rPr>
      </w:pPr>
      <w:r>
        <w:rPr>
          <w:rFonts w:ascii="Arial" w:hAnsi="Arial" w:cs="Arial"/>
        </w:rPr>
        <w:t>As a start point, use the follow</w:t>
      </w:r>
      <w:r w:rsidR="00DD067E">
        <w:rPr>
          <w:rFonts w:ascii="Arial" w:hAnsi="Arial" w:cs="Arial"/>
        </w:rPr>
        <w:t>ing templates for</w:t>
      </w:r>
      <w:r>
        <w:rPr>
          <w:rFonts w:ascii="Arial" w:hAnsi="Arial" w:cs="Arial"/>
        </w:rPr>
        <w:t>:</w:t>
      </w:r>
    </w:p>
    <w:p w14:paraId="4746C675" w14:textId="77777777" w:rsidR="00DD067E" w:rsidRDefault="00DD067E" w:rsidP="00303C63">
      <w:pPr>
        <w:pStyle w:val="NoSpacing"/>
        <w:spacing w:line="276" w:lineRule="auto"/>
        <w:jc w:val="both"/>
        <w:rPr>
          <w:rFonts w:ascii="Arial" w:hAnsi="Arial" w:cs="Arial"/>
        </w:rPr>
      </w:pPr>
    </w:p>
    <w:tbl>
      <w:tblPr>
        <w:tblStyle w:val="TableGrid"/>
        <w:tblW w:w="0" w:type="auto"/>
        <w:tblLook w:val="04A0" w:firstRow="1" w:lastRow="0" w:firstColumn="1" w:lastColumn="0" w:noHBand="0" w:noVBand="1"/>
      </w:tblPr>
      <w:tblGrid>
        <w:gridCol w:w="5058"/>
        <w:gridCol w:w="1530"/>
        <w:gridCol w:w="1440"/>
        <w:gridCol w:w="1214"/>
      </w:tblGrid>
      <w:tr w:rsidR="00DD067E" w14:paraId="4A09924B" w14:textId="77777777" w:rsidTr="00DD067E">
        <w:tc>
          <w:tcPr>
            <w:tcW w:w="5058" w:type="dxa"/>
            <w:vMerge w:val="restart"/>
          </w:tcPr>
          <w:p w14:paraId="01384DF3" w14:textId="77777777" w:rsidR="00DD067E" w:rsidRDefault="00DD067E" w:rsidP="00303C63">
            <w:pPr>
              <w:pStyle w:val="NoSpacing"/>
              <w:spacing w:line="276" w:lineRule="auto"/>
              <w:jc w:val="both"/>
              <w:rPr>
                <w:rFonts w:ascii="Arial" w:hAnsi="Arial" w:cs="Arial"/>
              </w:rPr>
            </w:pPr>
            <w:r>
              <w:rPr>
                <w:rFonts w:ascii="Arial" w:hAnsi="Arial" w:cs="Arial"/>
              </w:rPr>
              <w:t>Activity</w:t>
            </w:r>
          </w:p>
        </w:tc>
        <w:tc>
          <w:tcPr>
            <w:tcW w:w="1530" w:type="dxa"/>
            <w:vMerge w:val="restart"/>
          </w:tcPr>
          <w:p w14:paraId="681315C7" w14:textId="77777777" w:rsidR="00DD067E" w:rsidRDefault="00DD067E" w:rsidP="00DD067E">
            <w:pPr>
              <w:pStyle w:val="NoSpacing"/>
              <w:spacing w:line="276" w:lineRule="auto"/>
              <w:jc w:val="center"/>
              <w:rPr>
                <w:rFonts w:ascii="Arial" w:hAnsi="Arial" w:cs="Arial"/>
              </w:rPr>
            </w:pPr>
            <w:r>
              <w:rPr>
                <w:rFonts w:ascii="Arial" w:hAnsi="Arial" w:cs="Arial"/>
              </w:rPr>
              <w:t>Template</w:t>
            </w:r>
          </w:p>
        </w:tc>
        <w:tc>
          <w:tcPr>
            <w:tcW w:w="2654" w:type="dxa"/>
            <w:gridSpan w:val="2"/>
          </w:tcPr>
          <w:p w14:paraId="3F375D78" w14:textId="77777777" w:rsidR="00DD067E" w:rsidRDefault="00DD067E" w:rsidP="00DD067E">
            <w:pPr>
              <w:pStyle w:val="NoSpacing"/>
              <w:spacing w:line="276" w:lineRule="auto"/>
              <w:jc w:val="center"/>
              <w:rPr>
                <w:rFonts w:ascii="Arial" w:hAnsi="Arial" w:cs="Arial"/>
              </w:rPr>
            </w:pPr>
            <w:r>
              <w:rPr>
                <w:rFonts w:ascii="Arial" w:hAnsi="Arial" w:cs="Arial"/>
              </w:rPr>
              <w:t>Frequency</w:t>
            </w:r>
          </w:p>
        </w:tc>
      </w:tr>
      <w:tr w:rsidR="00DD067E" w14:paraId="749F38F6" w14:textId="77777777" w:rsidTr="00DD067E">
        <w:tc>
          <w:tcPr>
            <w:tcW w:w="5058" w:type="dxa"/>
            <w:vMerge/>
          </w:tcPr>
          <w:p w14:paraId="6C3E2EF2" w14:textId="77777777" w:rsidR="00DD067E" w:rsidRDefault="00DD067E" w:rsidP="00303C63">
            <w:pPr>
              <w:pStyle w:val="NoSpacing"/>
              <w:spacing w:line="276" w:lineRule="auto"/>
              <w:jc w:val="both"/>
              <w:rPr>
                <w:rFonts w:ascii="Arial" w:hAnsi="Arial" w:cs="Arial"/>
              </w:rPr>
            </w:pPr>
          </w:p>
        </w:tc>
        <w:tc>
          <w:tcPr>
            <w:tcW w:w="1530" w:type="dxa"/>
            <w:vMerge/>
          </w:tcPr>
          <w:p w14:paraId="289BE2BE" w14:textId="77777777" w:rsidR="00DD067E" w:rsidRDefault="00DD067E" w:rsidP="00303C63">
            <w:pPr>
              <w:pStyle w:val="NoSpacing"/>
              <w:spacing w:line="276" w:lineRule="auto"/>
              <w:jc w:val="both"/>
              <w:rPr>
                <w:rFonts w:ascii="Arial" w:hAnsi="Arial" w:cs="Arial"/>
              </w:rPr>
            </w:pPr>
          </w:p>
        </w:tc>
        <w:tc>
          <w:tcPr>
            <w:tcW w:w="1440" w:type="dxa"/>
          </w:tcPr>
          <w:p w14:paraId="7F564AFE" w14:textId="77777777" w:rsidR="00DD067E" w:rsidRDefault="00DD067E" w:rsidP="00303C63">
            <w:pPr>
              <w:pStyle w:val="NoSpacing"/>
              <w:spacing w:line="276" w:lineRule="auto"/>
              <w:jc w:val="both"/>
              <w:rPr>
                <w:rFonts w:ascii="Arial" w:hAnsi="Arial" w:cs="Arial"/>
              </w:rPr>
            </w:pPr>
            <w:r>
              <w:rPr>
                <w:rFonts w:ascii="Arial" w:hAnsi="Arial" w:cs="Arial"/>
              </w:rPr>
              <w:t>Per season</w:t>
            </w:r>
          </w:p>
        </w:tc>
        <w:tc>
          <w:tcPr>
            <w:tcW w:w="1214" w:type="dxa"/>
          </w:tcPr>
          <w:p w14:paraId="2C87E66A" w14:textId="77777777" w:rsidR="00DD067E" w:rsidRDefault="00DD067E" w:rsidP="00303C63">
            <w:pPr>
              <w:pStyle w:val="NoSpacing"/>
              <w:spacing w:line="276" w:lineRule="auto"/>
              <w:jc w:val="both"/>
              <w:rPr>
                <w:rFonts w:ascii="Arial" w:hAnsi="Arial" w:cs="Arial"/>
              </w:rPr>
            </w:pPr>
            <w:r>
              <w:rPr>
                <w:rFonts w:ascii="Arial" w:hAnsi="Arial" w:cs="Arial"/>
              </w:rPr>
              <w:t>Per event</w:t>
            </w:r>
          </w:p>
        </w:tc>
      </w:tr>
      <w:tr w:rsidR="00DD067E" w14:paraId="5AD72382" w14:textId="77777777" w:rsidTr="00DD067E">
        <w:tc>
          <w:tcPr>
            <w:tcW w:w="5058" w:type="dxa"/>
          </w:tcPr>
          <w:p w14:paraId="1B592803" w14:textId="67D03BA6" w:rsidR="00DD067E" w:rsidRDefault="002C2DB0" w:rsidP="002C2DB0">
            <w:pPr>
              <w:pStyle w:val="NoSpacing"/>
              <w:spacing w:line="276" w:lineRule="auto"/>
              <w:jc w:val="both"/>
              <w:rPr>
                <w:rFonts w:ascii="Arial" w:hAnsi="Arial" w:cs="Arial"/>
              </w:rPr>
            </w:pPr>
            <w:r>
              <w:rPr>
                <w:rFonts w:ascii="Arial" w:hAnsi="Arial" w:cs="Arial"/>
              </w:rPr>
              <w:t>Repeated u</w:t>
            </w:r>
            <w:r w:rsidR="00DD067E">
              <w:rPr>
                <w:rFonts w:ascii="Arial" w:hAnsi="Arial" w:cs="Arial"/>
              </w:rPr>
              <w:t>se of a venue at which you are the event organiser (</w:t>
            </w:r>
            <w:proofErr w:type="spellStart"/>
            <w:r w:rsidR="00DD067E">
              <w:rPr>
                <w:rFonts w:ascii="Arial" w:hAnsi="Arial" w:cs="Arial"/>
              </w:rPr>
              <w:t>eg</w:t>
            </w:r>
            <w:proofErr w:type="spellEnd"/>
            <w:r w:rsidR="00DD067E">
              <w:rPr>
                <w:rFonts w:ascii="Arial" w:hAnsi="Arial" w:cs="Arial"/>
              </w:rPr>
              <w:t xml:space="preserve"> home fixtures, hosting a tournament, meetings involving young people</w:t>
            </w:r>
            <w:r w:rsidR="00292779">
              <w:rPr>
                <w:rFonts w:ascii="Arial" w:hAnsi="Arial" w:cs="Arial"/>
              </w:rPr>
              <w:t>, hosting events which require ESFA sanction</w:t>
            </w:r>
            <w:r w:rsidR="00DD067E">
              <w:rPr>
                <w:rFonts w:ascii="Arial" w:hAnsi="Arial" w:cs="Arial"/>
              </w:rPr>
              <w:t>)</w:t>
            </w:r>
          </w:p>
        </w:tc>
        <w:tc>
          <w:tcPr>
            <w:tcW w:w="1530" w:type="dxa"/>
          </w:tcPr>
          <w:p w14:paraId="4660AB45" w14:textId="77777777" w:rsidR="00DD067E" w:rsidRDefault="00DD067E" w:rsidP="00DD067E">
            <w:pPr>
              <w:pStyle w:val="NoSpacing"/>
              <w:spacing w:line="276" w:lineRule="auto"/>
              <w:jc w:val="center"/>
              <w:rPr>
                <w:rFonts w:ascii="Arial" w:hAnsi="Arial" w:cs="Arial"/>
              </w:rPr>
            </w:pPr>
            <w:r>
              <w:rPr>
                <w:rFonts w:ascii="Arial" w:hAnsi="Arial" w:cs="Arial"/>
              </w:rPr>
              <w:t>1</w:t>
            </w:r>
          </w:p>
        </w:tc>
        <w:tc>
          <w:tcPr>
            <w:tcW w:w="1440" w:type="dxa"/>
          </w:tcPr>
          <w:p w14:paraId="0597480B" w14:textId="77777777" w:rsidR="00DD067E" w:rsidRDefault="00DD067E" w:rsidP="00DD067E">
            <w:pPr>
              <w:pStyle w:val="NoSpacing"/>
              <w:spacing w:line="276" w:lineRule="auto"/>
              <w:jc w:val="center"/>
              <w:rPr>
                <w:rFonts w:ascii="Arial" w:hAnsi="Arial" w:cs="Arial"/>
              </w:rPr>
            </w:pPr>
            <w:r>
              <w:rPr>
                <w:rFonts w:ascii="Arial" w:hAnsi="Arial" w:cs="Arial"/>
              </w:rPr>
              <w:t>X</w:t>
            </w:r>
          </w:p>
        </w:tc>
        <w:tc>
          <w:tcPr>
            <w:tcW w:w="1214" w:type="dxa"/>
          </w:tcPr>
          <w:p w14:paraId="17B37689" w14:textId="77777777" w:rsidR="00DD067E" w:rsidRDefault="00DD067E" w:rsidP="00303C63">
            <w:pPr>
              <w:pStyle w:val="NoSpacing"/>
              <w:spacing w:line="276" w:lineRule="auto"/>
              <w:jc w:val="both"/>
              <w:rPr>
                <w:rFonts w:ascii="Arial" w:hAnsi="Arial" w:cs="Arial"/>
              </w:rPr>
            </w:pPr>
          </w:p>
        </w:tc>
      </w:tr>
      <w:tr w:rsidR="002C2DB0" w14:paraId="400632B2" w14:textId="77777777" w:rsidTr="00DD067E">
        <w:tc>
          <w:tcPr>
            <w:tcW w:w="5058" w:type="dxa"/>
          </w:tcPr>
          <w:p w14:paraId="3941388F" w14:textId="7A1ECDF1" w:rsidR="002C2DB0" w:rsidRDefault="002C2DB0" w:rsidP="00303C63">
            <w:pPr>
              <w:pStyle w:val="NoSpacing"/>
              <w:spacing w:line="276" w:lineRule="auto"/>
              <w:jc w:val="both"/>
              <w:rPr>
                <w:rFonts w:ascii="Arial" w:hAnsi="Arial" w:cs="Arial"/>
              </w:rPr>
            </w:pPr>
            <w:r>
              <w:rPr>
                <w:rFonts w:ascii="Arial" w:hAnsi="Arial" w:cs="Arial"/>
              </w:rPr>
              <w:t>One off use of a venue</w:t>
            </w:r>
          </w:p>
        </w:tc>
        <w:tc>
          <w:tcPr>
            <w:tcW w:w="1530" w:type="dxa"/>
          </w:tcPr>
          <w:p w14:paraId="162396F3" w14:textId="0ACF80F4" w:rsidR="002C2DB0" w:rsidRDefault="002C2DB0" w:rsidP="00DD067E">
            <w:pPr>
              <w:pStyle w:val="NoSpacing"/>
              <w:spacing w:line="276" w:lineRule="auto"/>
              <w:jc w:val="center"/>
              <w:rPr>
                <w:rFonts w:ascii="Arial" w:hAnsi="Arial" w:cs="Arial"/>
              </w:rPr>
            </w:pPr>
            <w:r>
              <w:rPr>
                <w:rFonts w:ascii="Arial" w:hAnsi="Arial" w:cs="Arial"/>
              </w:rPr>
              <w:t>1</w:t>
            </w:r>
          </w:p>
        </w:tc>
        <w:tc>
          <w:tcPr>
            <w:tcW w:w="1440" w:type="dxa"/>
          </w:tcPr>
          <w:p w14:paraId="6E62A950" w14:textId="77777777" w:rsidR="002C2DB0" w:rsidRDefault="002C2DB0" w:rsidP="00303C63">
            <w:pPr>
              <w:pStyle w:val="NoSpacing"/>
              <w:spacing w:line="276" w:lineRule="auto"/>
              <w:jc w:val="both"/>
              <w:rPr>
                <w:rFonts w:ascii="Arial" w:hAnsi="Arial" w:cs="Arial"/>
              </w:rPr>
            </w:pPr>
          </w:p>
        </w:tc>
        <w:tc>
          <w:tcPr>
            <w:tcW w:w="1214" w:type="dxa"/>
          </w:tcPr>
          <w:p w14:paraId="7A130939" w14:textId="77777777" w:rsidR="002C2DB0" w:rsidRDefault="002C2DB0" w:rsidP="00DD067E">
            <w:pPr>
              <w:pStyle w:val="NoSpacing"/>
              <w:spacing w:line="276" w:lineRule="auto"/>
              <w:jc w:val="center"/>
              <w:rPr>
                <w:rFonts w:ascii="Arial" w:hAnsi="Arial" w:cs="Arial"/>
              </w:rPr>
            </w:pPr>
            <w:r>
              <w:rPr>
                <w:rFonts w:ascii="Arial" w:hAnsi="Arial" w:cs="Arial"/>
              </w:rPr>
              <w:t>X</w:t>
            </w:r>
          </w:p>
          <w:p w14:paraId="5A065560" w14:textId="5592C16B" w:rsidR="002C2DB0" w:rsidRDefault="002C2DB0" w:rsidP="00DD067E">
            <w:pPr>
              <w:pStyle w:val="NoSpacing"/>
              <w:spacing w:line="276" w:lineRule="auto"/>
              <w:jc w:val="center"/>
              <w:rPr>
                <w:rFonts w:ascii="Arial" w:hAnsi="Arial" w:cs="Arial"/>
              </w:rPr>
            </w:pPr>
          </w:p>
        </w:tc>
      </w:tr>
      <w:tr w:rsidR="00DD067E" w14:paraId="7F2D848E" w14:textId="77777777" w:rsidTr="00DD067E">
        <w:tc>
          <w:tcPr>
            <w:tcW w:w="5058" w:type="dxa"/>
          </w:tcPr>
          <w:p w14:paraId="0A7A25D8" w14:textId="02E8C0FE" w:rsidR="00DD067E" w:rsidRDefault="00DD067E" w:rsidP="00303C63">
            <w:pPr>
              <w:pStyle w:val="NoSpacing"/>
              <w:spacing w:line="276" w:lineRule="auto"/>
              <w:jc w:val="both"/>
              <w:rPr>
                <w:rFonts w:ascii="Arial" w:hAnsi="Arial" w:cs="Arial"/>
              </w:rPr>
            </w:pPr>
            <w:r>
              <w:rPr>
                <w:rFonts w:ascii="Arial" w:hAnsi="Arial" w:cs="Arial"/>
              </w:rPr>
              <w:t>Attending an away fixture</w:t>
            </w:r>
            <w:r w:rsidR="00292779">
              <w:rPr>
                <w:rFonts w:ascii="Arial" w:hAnsi="Arial" w:cs="Arial"/>
              </w:rPr>
              <w:t xml:space="preserve"> </w:t>
            </w:r>
            <w:r w:rsidR="002C2DB0">
              <w:rPr>
                <w:rFonts w:ascii="Arial" w:hAnsi="Arial" w:cs="Arial"/>
              </w:rPr>
              <w:t xml:space="preserve">in England or the Channel Islands </w:t>
            </w:r>
            <w:r w:rsidR="00292779">
              <w:rPr>
                <w:rFonts w:ascii="Arial" w:hAnsi="Arial" w:cs="Arial"/>
              </w:rPr>
              <w:t>(remember to apply for sanction if this would otherwise be unaffiliated football)</w:t>
            </w:r>
          </w:p>
          <w:p w14:paraId="0B0A8D5D" w14:textId="77777777" w:rsidR="00DD067E" w:rsidRDefault="00DD067E" w:rsidP="00303C63">
            <w:pPr>
              <w:pStyle w:val="NoSpacing"/>
              <w:spacing w:line="276" w:lineRule="auto"/>
              <w:jc w:val="both"/>
              <w:rPr>
                <w:rFonts w:ascii="Arial" w:hAnsi="Arial" w:cs="Arial"/>
              </w:rPr>
            </w:pPr>
          </w:p>
        </w:tc>
        <w:tc>
          <w:tcPr>
            <w:tcW w:w="1530" w:type="dxa"/>
          </w:tcPr>
          <w:p w14:paraId="2EDDDD9C" w14:textId="77777777" w:rsidR="00DD067E" w:rsidRDefault="00DD067E" w:rsidP="00DD067E">
            <w:pPr>
              <w:pStyle w:val="NoSpacing"/>
              <w:spacing w:line="276" w:lineRule="auto"/>
              <w:jc w:val="center"/>
              <w:rPr>
                <w:rFonts w:ascii="Arial" w:hAnsi="Arial" w:cs="Arial"/>
              </w:rPr>
            </w:pPr>
            <w:r>
              <w:rPr>
                <w:rFonts w:ascii="Arial" w:hAnsi="Arial" w:cs="Arial"/>
              </w:rPr>
              <w:t>1</w:t>
            </w:r>
          </w:p>
        </w:tc>
        <w:tc>
          <w:tcPr>
            <w:tcW w:w="1440" w:type="dxa"/>
          </w:tcPr>
          <w:p w14:paraId="108B85B0" w14:textId="77777777" w:rsidR="00DD067E" w:rsidRDefault="00DD067E" w:rsidP="00303C63">
            <w:pPr>
              <w:pStyle w:val="NoSpacing"/>
              <w:spacing w:line="276" w:lineRule="auto"/>
              <w:jc w:val="both"/>
              <w:rPr>
                <w:rFonts w:ascii="Arial" w:hAnsi="Arial" w:cs="Arial"/>
              </w:rPr>
            </w:pPr>
          </w:p>
        </w:tc>
        <w:tc>
          <w:tcPr>
            <w:tcW w:w="1214" w:type="dxa"/>
          </w:tcPr>
          <w:p w14:paraId="53946683" w14:textId="77777777" w:rsidR="00DD067E" w:rsidRDefault="00DD067E" w:rsidP="00DD067E">
            <w:pPr>
              <w:pStyle w:val="NoSpacing"/>
              <w:spacing w:line="276" w:lineRule="auto"/>
              <w:jc w:val="center"/>
              <w:rPr>
                <w:rFonts w:ascii="Arial" w:hAnsi="Arial" w:cs="Arial"/>
              </w:rPr>
            </w:pPr>
            <w:r>
              <w:rPr>
                <w:rFonts w:ascii="Arial" w:hAnsi="Arial" w:cs="Arial"/>
              </w:rPr>
              <w:t>X</w:t>
            </w:r>
          </w:p>
        </w:tc>
      </w:tr>
      <w:tr w:rsidR="00DD067E" w14:paraId="6B73C12F" w14:textId="77777777" w:rsidTr="00DD067E">
        <w:tc>
          <w:tcPr>
            <w:tcW w:w="5058" w:type="dxa"/>
          </w:tcPr>
          <w:p w14:paraId="10433B0B" w14:textId="26BAA8DD" w:rsidR="00DD067E" w:rsidRDefault="004278DC" w:rsidP="00303C63">
            <w:pPr>
              <w:pStyle w:val="NoSpacing"/>
              <w:spacing w:line="276" w:lineRule="auto"/>
              <w:jc w:val="both"/>
              <w:rPr>
                <w:rFonts w:ascii="Arial" w:hAnsi="Arial" w:cs="Arial"/>
              </w:rPr>
            </w:pPr>
            <w:r>
              <w:rPr>
                <w:rFonts w:ascii="Arial" w:hAnsi="Arial" w:cs="Arial"/>
              </w:rPr>
              <w:t>Hosting a tournament or festival</w:t>
            </w:r>
            <w:r w:rsidR="00292779">
              <w:rPr>
                <w:rFonts w:ascii="Arial" w:hAnsi="Arial" w:cs="Arial"/>
              </w:rPr>
              <w:t xml:space="preserve"> </w:t>
            </w:r>
            <w:r w:rsidR="002C2DB0">
              <w:rPr>
                <w:rFonts w:ascii="Arial" w:hAnsi="Arial" w:cs="Arial"/>
              </w:rPr>
              <w:t xml:space="preserve">in England or the Channel Islands </w:t>
            </w:r>
            <w:r w:rsidR="00292779">
              <w:rPr>
                <w:rFonts w:ascii="Arial" w:hAnsi="Arial" w:cs="Arial"/>
              </w:rPr>
              <w:t>(remember to apply for sanction)</w:t>
            </w:r>
          </w:p>
        </w:tc>
        <w:tc>
          <w:tcPr>
            <w:tcW w:w="1530" w:type="dxa"/>
          </w:tcPr>
          <w:p w14:paraId="7E3CC76B" w14:textId="77777777" w:rsidR="00DD067E" w:rsidRDefault="00DD067E" w:rsidP="00DD067E">
            <w:pPr>
              <w:pStyle w:val="NoSpacing"/>
              <w:spacing w:line="276" w:lineRule="auto"/>
              <w:jc w:val="center"/>
              <w:rPr>
                <w:rFonts w:ascii="Arial" w:hAnsi="Arial" w:cs="Arial"/>
              </w:rPr>
            </w:pPr>
            <w:r>
              <w:rPr>
                <w:rFonts w:ascii="Arial" w:hAnsi="Arial" w:cs="Arial"/>
              </w:rPr>
              <w:t>2</w:t>
            </w:r>
          </w:p>
        </w:tc>
        <w:tc>
          <w:tcPr>
            <w:tcW w:w="1440" w:type="dxa"/>
          </w:tcPr>
          <w:p w14:paraId="7CBB5D70" w14:textId="77777777" w:rsidR="00DD067E" w:rsidRDefault="00DD067E" w:rsidP="00303C63">
            <w:pPr>
              <w:pStyle w:val="NoSpacing"/>
              <w:spacing w:line="276" w:lineRule="auto"/>
              <w:jc w:val="both"/>
              <w:rPr>
                <w:rFonts w:ascii="Arial" w:hAnsi="Arial" w:cs="Arial"/>
              </w:rPr>
            </w:pPr>
          </w:p>
        </w:tc>
        <w:tc>
          <w:tcPr>
            <w:tcW w:w="1214" w:type="dxa"/>
          </w:tcPr>
          <w:p w14:paraId="3AFC7E69" w14:textId="77777777" w:rsidR="00DD067E" w:rsidRDefault="00DD067E" w:rsidP="00DD067E">
            <w:pPr>
              <w:pStyle w:val="NoSpacing"/>
              <w:spacing w:line="276" w:lineRule="auto"/>
              <w:jc w:val="center"/>
              <w:rPr>
                <w:rFonts w:ascii="Arial" w:hAnsi="Arial" w:cs="Arial"/>
              </w:rPr>
            </w:pPr>
            <w:r>
              <w:rPr>
                <w:rFonts w:ascii="Arial" w:hAnsi="Arial" w:cs="Arial"/>
              </w:rPr>
              <w:t>X</w:t>
            </w:r>
          </w:p>
          <w:p w14:paraId="038A4B34" w14:textId="77777777" w:rsidR="00DD067E" w:rsidRDefault="00DD067E" w:rsidP="00DD067E">
            <w:pPr>
              <w:pStyle w:val="NoSpacing"/>
              <w:spacing w:line="276" w:lineRule="auto"/>
              <w:jc w:val="center"/>
              <w:rPr>
                <w:rFonts w:ascii="Arial" w:hAnsi="Arial" w:cs="Arial"/>
              </w:rPr>
            </w:pPr>
          </w:p>
        </w:tc>
      </w:tr>
      <w:tr w:rsidR="00D15144" w14:paraId="7A456851" w14:textId="77777777" w:rsidTr="00DD067E">
        <w:tc>
          <w:tcPr>
            <w:tcW w:w="5058" w:type="dxa"/>
          </w:tcPr>
          <w:p w14:paraId="50A3EC4C" w14:textId="7A8D28F0" w:rsidR="00D15144" w:rsidRDefault="00D15144" w:rsidP="002C2DB0">
            <w:pPr>
              <w:pStyle w:val="NoSpacing"/>
              <w:spacing w:line="276" w:lineRule="auto"/>
              <w:jc w:val="both"/>
              <w:rPr>
                <w:rFonts w:ascii="Arial" w:hAnsi="Arial" w:cs="Arial"/>
              </w:rPr>
            </w:pPr>
            <w:r>
              <w:rPr>
                <w:rFonts w:ascii="Arial" w:hAnsi="Arial" w:cs="Arial"/>
              </w:rPr>
              <w:t>Travelling to an overseas match or Tournament</w:t>
            </w:r>
            <w:r w:rsidR="004278DC">
              <w:rPr>
                <w:rFonts w:ascii="Arial" w:hAnsi="Arial" w:cs="Arial"/>
              </w:rPr>
              <w:t xml:space="preserve"> </w:t>
            </w:r>
            <w:r w:rsidR="002C2DB0">
              <w:rPr>
                <w:rFonts w:ascii="Arial" w:hAnsi="Arial" w:cs="Arial"/>
              </w:rPr>
              <w:t xml:space="preserve">with </w:t>
            </w:r>
            <w:r w:rsidR="004278DC">
              <w:rPr>
                <w:rFonts w:ascii="Arial" w:hAnsi="Arial" w:cs="Arial"/>
              </w:rPr>
              <w:t>overnight stays (remember to apply for a sanction)</w:t>
            </w:r>
            <w:r w:rsidR="002C2DB0">
              <w:rPr>
                <w:rFonts w:ascii="Arial" w:hAnsi="Arial" w:cs="Arial"/>
              </w:rPr>
              <w:t xml:space="preserve"> in England or the Channel Islands</w:t>
            </w:r>
          </w:p>
        </w:tc>
        <w:tc>
          <w:tcPr>
            <w:tcW w:w="1530" w:type="dxa"/>
          </w:tcPr>
          <w:p w14:paraId="3BACFB79" w14:textId="65629C50" w:rsidR="00D15144" w:rsidRDefault="00D15144" w:rsidP="00DD067E">
            <w:pPr>
              <w:pStyle w:val="NoSpacing"/>
              <w:spacing w:line="276" w:lineRule="auto"/>
              <w:jc w:val="center"/>
              <w:rPr>
                <w:rFonts w:ascii="Arial" w:hAnsi="Arial" w:cs="Arial"/>
              </w:rPr>
            </w:pPr>
            <w:r>
              <w:rPr>
                <w:rFonts w:ascii="Arial" w:hAnsi="Arial" w:cs="Arial"/>
              </w:rPr>
              <w:t>3</w:t>
            </w:r>
          </w:p>
        </w:tc>
        <w:tc>
          <w:tcPr>
            <w:tcW w:w="1440" w:type="dxa"/>
          </w:tcPr>
          <w:p w14:paraId="76381EF4" w14:textId="77777777" w:rsidR="00D15144" w:rsidRDefault="00D15144" w:rsidP="00303C63">
            <w:pPr>
              <w:pStyle w:val="NoSpacing"/>
              <w:spacing w:line="276" w:lineRule="auto"/>
              <w:jc w:val="both"/>
              <w:rPr>
                <w:rFonts w:ascii="Arial" w:hAnsi="Arial" w:cs="Arial"/>
              </w:rPr>
            </w:pPr>
          </w:p>
        </w:tc>
        <w:tc>
          <w:tcPr>
            <w:tcW w:w="1214" w:type="dxa"/>
          </w:tcPr>
          <w:p w14:paraId="373555DA" w14:textId="77777777" w:rsidR="00D15144" w:rsidRDefault="00D15144" w:rsidP="00DD067E">
            <w:pPr>
              <w:pStyle w:val="NoSpacing"/>
              <w:spacing w:line="276" w:lineRule="auto"/>
              <w:jc w:val="center"/>
              <w:rPr>
                <w:rFonts w:ascii="Arial" w:hAnsi="Arial" w:cs="Arial"/>
              </w:rPr>
            </w:pPr>
            <w:r>
              <w:rPr>
                <w:rFonts w:ascii="Arial" w:hAnsi="Arial" w:cs="Arial"/>
              </w:rPr>
              <w:t>X</w:t>
            </w:r>
          </w:p>
          <w:p w14:paraId="62087A37" w14:textId="7268BD5C" w:rsidR="00D15144" w:rsidRDefault="00D15144" w:rsidP="00DD067E">
            <w:pPr>
              <w:pStyle w:val="NoSpacing"/>
              <w:spacing w:line="276" w:lineRule="auto"/>
              <w:jc w:val="center"/>
              <w:rPr>
                <w:rFonts w:ascii="Arial" w:hAnsi="Arial" w:cs="Arial"/>
              </w:rPr>
            </w:pPr>
          </w:p>
        </w:tc>
      </w:tr>
    </w:tbl>
    <w:p w14:paraId="602FB65A" w14:textId="77777777" w:rsidR="00D15144" w:rsidRDefault="00D15144" w:rsidP="00AE7E44">
      <w:pPr>
        <w:pStyle w:val="NoSpacing"/>
        <w:spacing w:line="276" w:lineRule="auto"/>
        <w:jc w:val="both"/>
        <w:rPr>
          <w:rFonts w:ascii="Arial" w:hAnsi="Arial" w:cs="Arial"/>
          <w:b/>
        </w:rPr>
      </w:pPr>
    </w:p>
    <w:p w14:paraId="56140C26" w14:textId="77777777" w:rsidR="004642CA" w:rsidRPr="006523E8" w:rsidRDefault="004642CA" w:rsidP="00B441E4">
      <w:pPr>
        <w:pStyle w:val="NoSpacing"/>
        <w:rPr>
          <w:rFonts w:ascii="Arial" w:hAnsi="Arial" w:cs="Arial"/>
          <w:b/>
        </w:rPr>
      </w:pPr>
    </w:p>
    <w:p w14:paraId="5A22F176" w14:textId="77777777" w:rsidR="00B441E4" w:rsidRDefault="0003596B" w:rsidP="00B441E4">
      <w:pPr>
        <w:pStyle w:val="NoSpacing"/>
        <w:rPr>
          <w:rFonts w:ascii="Arial" w:hAnsi="Arial" w:cs="Arial"/>
          <w:b/>
          <w:u w:val="single"/>
        </w:rPr>
      </w:pPr>
      <w:r w:rsidRPr="006523E8">
        <w:rPr>
          <w:rFonts w:ascii="Arial" w:hAnsi="Arial" w:cs="Arial"/>
          <w:b/>
          <w:u w:val="single"/>
        </w:rPr>
        <w:t>What is covered by ESFA insurance</w:t>
      </w:r>
      <w:r w:rsidR="003C0E3C" w:rsidRPr="006523E8">
        <w:rPr>
          <w:rFonts w:ascii="Arial" w:hAnsi="Arial" w:cs="Arial"/>
          <w:b/>
          <w:u w:val="single"/>
        </w:rPr>
        <w:t>?</w:t>
      </w:r>
      <w:r w:rsidR="00303C63">
        <w:rPr>
          <w:rFonts w:ascii="Arial" w:hAnsi="Arial" w:cs="Arial"/>
          <w:b/>
          <w:u w:val="single"/>
        </w:rPr>
        <w:t xml:space="preserve"> </w:t>
      </w:r>
    </w:p>
    <w:p w14:paraId="09961350" w14:textId="77777777" w:rsidR="00303C63" w:rsidRDefault="00303C63" w:rsidP="00B441E4">
      <w:pPr>
        <w:pStyle w:val="NoSpacing"/>
        <w:rPr>
          <w:rFonts w:ascii="Arial" w:hAnsi="Arial" w:cs="Arial"/>
          <w:b/>
          <w:u w:val="single"/>
        </w:rPr>
      </w:pPr>
    </w:p>
    <w:p w14:paraId="0B9CEEAA" w14:textId="2100F5C7" w:rsidR="004642CA" w:rsidRDefault="0043016B" w:rsidP="004278DC">
      <w:pPr>
        <w:pStyle w:val="NoSpacing"/>
        <w:rPr>
          <w:rFonts w:ascii="Arial" w:hAnsi="Arial" w:cs="Arial"/>
          <w:b/>
          <w:szCs w:val="26"/>
          <w:u w:val="single"/>
        </w:rPr>
      </w:pPr>
      <w:r>
        <w:rPr>
          <w:rFonts w:ascii="Arial" w:hAnsi="Arial" w:cs="Arial"/>
        </w:rPr>
        <w:t>The ESFA is in the process of renewing its insurance and will provide a separate guide on cover in place in due course.</w:t>
      </w:r>
      <w:bookmarkStart w:id="0" w:name="_GoBack"/>
      <w:bookmarkEnd w:id="0"/>
    </w:p>
    <w:sectPr w:rsidR="004642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816F" w14:textId="77777777" w:rsidR="00AB1157" w:rsidRDefault="00AB1157" w:rsidP="002C2DB0">
      <w:pPr>
        <w:spacing w:after="0" w:line="240" w:lineRule="auto"/>
      </w:pPr>
      <w:r>
        <w:separator/>
      </w:r>
    </w:p>
  </w:endnote>
  <w:endnote w:type="continuationSeparator" w:id="0">
    <w:p w14:paraId="69D62E82" w14:textId="77777777" w:rsidR="00AB1157" w:rsidRDefault="00AB1157" w:rsidP="002C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9F6E" w14:textId="77777777" w:rsidR="002C2DB0" w:rsidRDefault="002C2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A7A5" w14:textId="77777777" w:rsidR="002C2DB0" w:rsidRDefault="002C2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15CF" w14:textId="77777777" w:rsidR="002C2DB0" w:rsidRDefault="002C2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0557" w14:textId="77777777" w:rsidR="00AB1157" w:rsidRDefault="00AB1157" w:rsidP="002C2DB0">
      <w:pPr>
        <w:spacing w:after="0" w:line="240" w:lineRule="auto"/>
      </w:pPr>
      <w:r>
        <w:separator/>
      </w:r>
    </w:p>
  </w:footnote>
  <w:footnote w:type="continuationSeparator" w:id="0">
    <w:p w14:paraId="1833F31C" w14:textId="77777777" w:rsidR="00AB1157" w:rsidRDefault="00AB1157" w:rsidP="002C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55B8" w14:textId="3B36ECD0" w:rsidR="002C2DB0" w:rsidRDefault="002C2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13C4" w14:textId="4527A9CD" w:rsidR="002C2DB0" w:rsidRDefault="002C2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04E0" w14:textId="36BE3D00" w:rsidR="002C2DB0" w:rsidRDefault="002C2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4F6"/>
    <w:multiLevelType w:val="hybridMultilevel"/>
    <w:tmpl w:val="E1F4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F842B0"/>
    <w:multiLevelType w:val="hybridMultilevel"/>
    <w:tmpl w:val="4F7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E03BF"/>
    <w:multiLevelType w:val="hybridMultilevel"/>
    <w:tmpl w:val="D1F67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BE5927"/>
    <w:multiLevelType w:val="multilevel"/>
    <w:tmpl w:val="E26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E0"/>
    <w:rsid w:val="0003596B"/>
    <w:rsid w:val="000717B9"/>
    <w:rsid w:val="00096C63"/>
    <w:rsid w:val="00102388"/>
    <w:rsid w:val="001813A2"/>
    <w:rsid w:val="00292779"/>
    <w:rsid w:val="0029292A"/>
    <w:rsid w:val="002C2DB0"/>
    <w:rsid w:val="00303C63"/>
    <w:rsid w:val="00344F46"/>
    <w:rsid w:val="003C0E3C"/>
    <w:rsid w:val="004278DC"/>
    <w:rsid w:val="0043016B"/>
    <w:rsid w:val="00436B29"/>
    <w:rsid w:val="0044792D"/>
    <w:rsid w:val="004642CA"/>
    <w:rsid w:val="004F286A"/>
    <w:rsid w:val="004F5B02"/>
    <w:rsid w:val="00507813"/>
    <w:rsid w:val="0056372E"/>
    <w:rsid w:val="006523E8"/>
    <w:rsid w:val="0069621A"/>
    <w:rsid w:val="006E113B"/>
    <w:rsid w:val="007457B5"/>
    <w:rsid w:val="008A18F9"/>
    <w:rsid w:val="008E1FC5"/>
    <w:rsid w:val="008E201E"/>
    <w:rsid w:val="00944FA0"/>
    <w:rsid w:val="00953EC7"/>
    <w:rsid w:val="009C160D"/>
    <w:rsid w:val="009C16AD"/>
    <w:rsid w:val="009D3407"/>
    <w:rsid w:val="009E56F2"/>
    <w:rsid w:val="00A026DE"/>
    <w:rsid w:val="00A41CDD"/>
    <w:rsid w:val="00AB1157"/>
    <w:rsid w:val="00AE7E44"/>
    <w:rsid w:val="00B441E4"/>
    <w:rsid w:val="00BC31E0"/>
    <w:rsid w:val="00C4558E"/>
    <w:rsid w:val="00D15144"/>
    <w:rsid w:val="00DD067E"/>
    <w:rsid w:val="00E1474B"/>
    <w:rsid w:val="00EC2C44"/>
    <w:rsid w:val="00EC7766"/>
    <w:rsid w:val="00F73FFA"/>
    <w:rsid w:val="00FF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F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28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6B"/>
    <w:pPr>
      <w:ind w:left="720"/>
      <w:contextualSpacing/>
    </w:pPr>
  </w:style>
  <w:style w:type="paragraph" w:styleId="NoSpacing">
    <w:name w:val="No Spacing"/>
    <w:uiPriority w:val="1"/>
    <w:qFormat/>
    <w:rsid w:val="00096C63"/>
    <w:pPr>
      <w:spacing w:after="0" w:line="240" w:lineRule="auto"/>
    </w:pPr>
  </w:style>
  <w:style w:type="character" w:customStyle="1" w:styleId="Heading2Char">
    <w:name w:val="Heading 2 Char"/>
    <w:basedOn w:val="DefaultParagraphFont"/>
    <w:link w:val="Heading2"/>
    <w:uiPriority w:val="9"/>
    <w:semiHidden/>
    <w:rsid w:val="004F28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F286A"/>
    <w:rPr>
      <w:color w:val="0000FF" w:themeColor="hyperlink"/>
      <w:u w:val="single"/>
    </w:rPr>
  </w:style>
  <w:style w:type="character" w:customStyle="1" w:styleId="UnresolvedMention1">
    <w:name w:val="Unresolved Mention1"/>
    <w:basedOn w:val="DefaultParagraphFont"/>
    <w:uiPriority w:val="99"/>
    <w:semiHidden/>
    <w:unhideWhenUsed/>
    <w:rsid w:val="004F286A"/>
    <w:rPr>
      <w:color w:val="605E5C"/>
      <w:shd w:val="clear" w:color="auto" w:fill="E1DFDD"/>
    </w:rPr>
  </w:style>
  <w:style w:type="table" w:styleId="TableGrid">
    <w:name w:val="Table Grid"/>
    <w:basedOn w:val="TableNormal"/>
    <w:uiPriority w:val="59"/>
    <w:rsid w:val="00DD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B0"/>
  </w:style>
  <w:style w:type="paragraph" w:styleId="Footer">
    <w:name w:val="footer"/>
    <w:basedOn w:val="Normal"/>
    <w:link w:val="FooterChar"/>
    <w:uiPriority w:val="99"/>
    <w:unhideWhenUsed/>
    <w:rsid w:val="002C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28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6B"/>
    <w:pPr>
      <w:ind w:left="720"/>
      <w:contextualSpacing/>
    </w:pPr>
  </w:style>
  <w:style w:type="paragraph" w:styleId="NoSpacing">
    <w:name w:val="No Spacing"/>
    <w:uiPriority w:val="1"/>
    <w:qFormat/>
    <w:rsid w:val="00096C63"/>
    <w:pPr>
      <w:spacing w:after="0" w:line="240" w:lineRule="auto"/>
    </w:pPr>
  </w:style>
  <w:style w:type="character" w:customStyle="1" w:styleId="Heading2Char">
    <w:name w:val="Heading 2 Char"/>
    <w:basedOn w:val="DefaultParagraphFont"/>
    <w:link w:val="Heading2"/>
    <w:uiPriority w:val="9"/>
    <w:semiHidden/>
    <w:rsid w:val="004F28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F286A"/>
    <w:rPr>
      <w:color w:val="0000FF" w:themeColor="hyperlink"/>
      <w:u w:val="single"/>
    </w:rPr>
  </w:style>
  <w:style w:type="character" w:customStyle="1" w:styleId="UnresolvedMention1">
    <w:name w:val="Unresolved Mention1"/>
    <w:basedOn w:val="DefaultParagraphFont"/>
    <w:uiPriority w:val="99"/>
    <w:semiHidden/>
    <w:unhideWhenUsed/>
    <w:rsid w:val="004F286A"/>
    <w:rPr>
      <w:color w:val="605E5C"/>
      <w:shd w:val="clear" w:color="auto" w:fill="E1DFDD"/>
    </w:rPr>
  </w:style>
  <w:style w:type="table" w:styleId="TableGrid">
    <w:name w:val="Table Grid"/>
    <w:basedOn w:val="TableNormal"/>
    <w:uiPriority w:val="59"/>
    <w:rsid w:val="00DD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B0"/>
  </w:style>
  <w:style w:type="paragraph" w:styleId="Footer">
    <w:name w:val="footer"/>
    <w:basedOn w:val="Normal"/>
    <w:link w:val="FooterChar"/>
    <w:uiPriority w:val="99"/>
    <w:unhideWhenUsed/>
    <w:rsid w:val="002C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0903">
      <w:bodyDiv w:val="1"/>
      <w:marLeft w:val="0"/>
      <w:marRight w:val="0"/>
      <w:marTop w:val="0"/>
      <w:marBottom w:val="0"/>
      <w:divBdr>
        <w:top w:val="none" w:sz="0" w:space="0" w:color="auto"/>
        <w:left w:val="none" w:sz="0" w:space="0" w:color="auto"/>
        <w:bottom w:val="none" w:sz="0" w:space="0" w:color="auto"/>
        <w:right w:val="none" w:sz="0" w:space="0" w:color="auto"/>
      </w:divBdr>
    </w:div>
    <w:div w:id="19135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EA9D6-9532-45DE-97E8-7740DAD412AD}"/>
</file>

<file path=customXml/itemProps2.xml><?xml version="1.0" encoding="utf-8"?>
<ds:datastoreItem xmlns:ds="http://schemas.openxmlformats.org/officeDocument/2006/customXml" ds:itemID="{09016D1F-B9A3-4362-855E-257253D464CD}"/>
</file>

<file path=customXml/itemProps3.xml><?xml version="1.0" encoding="utf-8"?>
<ds:datastoreItem xmlns:ds="http://schemas.openxmlformats.org/officeDocument/2006/customXml" ds:itemID="{7D633B41-A22A-4617-AEA1-6CDD868E3723}"/>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andrea chilton</cp:lastModifiedBy>
  <cp:revision>2</cp:revision>
  <dcterms:created xsi:type="dcterms:W3CDTF">2020-07-27T09:37:00Z</dcterms:created>
  <dcterms:modified xsi:type="dcterms:W3CDTF">2020-07-27T09:37:00Z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