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7590965A" wp14:editId="46E4F0B5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3E63774E" w:rsidR="00567835" w:rsidRPr="007D22E9" w:rsidRDefault="00087780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2020</w:t>
      </w: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0B40C36C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Mike Coyne, Chair, welcomed Trustees to the meeting</w:t>
      </w:r>
      <w:r w:rsidR="008D687B">
        <w:rPr>
          <w:rFonts w:ascii="Arial" w:eastAsia="Times New Roman" w:hAnsi="Arial" w:cs="Arial"/>
          <w:color w:val="000000"/>
          <w:sz w:val="22"/>
          <w:szCs w:val="22"/>
        </w:rPr>
        <w:t xml:space="preserve"> and accepted apologies from </w:t>
      </w:r>
      <w:r w:rsidR="00474E4C">
        <w:rPr>
          <w:rFonts w:ascii="Arial" w:eastAsia="Times New Roman" w:hAnsi="Arial" w:cs="Arial"/>
          <w:color w:val="000000"/>
          <w:sz w:val="22"/>
          <w:szCs w:val="22"/>
        </w:rPr>
        <w:t xml:space="preserve">Paul Rickard and Mike Spinks (in attendance). The Chair welcomed </w:t>
      </w:r>
      <w:r w:rsidR="00087780">
        <w:rPr>
          <w:rFonts w:ascii="Arial" w:eastAsia="Times New Roman" w:hAnsi="Arial" w:cs="Arial"/>
          <w:color w:val="000000"/>
          <w:sz w:val="22"/>
          <w:szCs w:val="22"/>
        </w:rPr>
        <w:t>Blemish, IT developers</w:t>
      </w:r>
      <w:r w:rsidR="00474E4C">
        <w:rPr>
          <w:rFonts w:ascii="Arial" w:eastAsia="Times New Roman" w:hAnsi="Arial" w:cs="Arial"/>
          <w:color w:val="000000"/>
          <w:sz w:val="22"/>
          <w:szCs w:val="22"/>
        </w:rPr>
        <w:t xml:space="preserve">, and Ian </w:t>
      </w:r>
      <w:proofErr w:type="spellStart"/>
      <w:r w:rsidR="00474E4C">
        <w:rPr>
          <w:rFonts w:ascii="Arial" w:eastAsia="Times New Roman" w:hAnsi="Arial" w:cs="Arial"/>
          <w:color w:val="000000"/>
          <w:sz w:val="22"/>
          <w:szCs w:val="22"/>
        </w:rPr>
        <w:t>Laithwaite</w:t>
      </w:r>
      <w:proofErr w:type="spellEnd"/>
      <w:r w:rsidR="00474E4C">
        <w:rPr>
          <w:rFonts w:ascii="Arial" w:eastAsia="Times New Roman" w:hAnsi="Arial" w:cs="Arial"/>
          <w:color w:val="000000"/>
          <w:sz w:val="22"/>
          <w:szCs w:val="22"/>
        </w:rPr>
        <w:t>, Commercial Director, for their respective agenda items</w:t>
      </w:r>
      <w:r w:rsidR="0008778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28714C3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14:paraId="78C50342" w14:textId="41514BAA" w:rsidR="00DE3B52" w:rsidRDefault="00087780" w:rsidP="00474E4C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Reviewed the partnership pipeline from the Commercial Director and were pleased to see the emerging potential for further sponsorship deals;</w:t>
      </w:r>
    </w:p>
    <w:p w14:paraId="7D5F050A" w14:textId="3CCA0DC7" w:rsidR="00087780" w:rsidRDefault="00087780" w:rsidP="00474E4C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draft budgets, based on known income and expenditure and approved the prudent, balanced budget;</w:t>
      </w:r>
    </w:p>
    <w:p w14:paraId="781AF230" w14:textId="696B8E9B" w:rsidR="00087780" w:rsidRPr="00474E4C" w:rsidRDefault="00087780" w:rsidP="00474E4C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cash flow forecast, which, whilst showing some variances due to timing, was in line with expectations.</w:t>
      </w:r>
    </w:p>
    <w:p w14:paraId="4A5E12B5" w14:textId="77777777"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6008C10" w14:textId="77777777"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regulatory, policy and statutory framework, Trustees:</w:t>
      </w:r>
    </w:p>
    <w:p w14:paraId="35F5F47C" w14:textId="41C0A315" w:rsidR="00C769D4" w:rsidRDefault="00087780" w:rsidP="0061091E">
      <w:pPr>
        <w:pStyle w:val="Normal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employment law update regarding contracts and parental bereavement leave, and approved amendments to ESFA policy once laws came into effect;7</w:t>
      </w:r>
    </w:p>
    <w:p w14:paraId="778EF101" w14:textId="02708269" w:rsidR="00087780" w:rsidRDefault="00087780" w:rsidP="0061091E">
      <w:pPr>
        <w:pStyle w:val="Normal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to relax the restrictions on Council attendance at ESFA events for one season only.</w:t>
      </w:r>
    </w:p>
    <w:p w14:paraId="37B0F67D" w14:textId="77777777" w:rsidR="0036464D" w:rsidRDefault="0036464D" w:rsidP="0036464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311E235" w14:textId="77777777" w:rsidR="00087780" w:rsidRDefault="00087780" w:rsidP="00087780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56874"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14:paraId="70EFAF0C" w14:textId="3708FA0F" w:rsidR="00087780" w:rsidRDefault="00087780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draft plan for 20/21 onwards, having reviewed the progress of the current plan, and approved it for onward dissemination to Council and staff;</w:t>
      </w:r>
    </w:p>
    <w:p w14:paraId="2CF1103F" w14:textId="00221C42" w:rsidR="00087780" w:rsidRDefault="00087780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draft Player Passport briefing for Membership and approved it for onward referral to Council;</w:t>
      </w:r>
    </w:p>
    <w:p w14:paraId="723897BD" w14:textId="50EF3DA8" w:rsidR="00087780" w:rsidRPr="00087780" w:rsidRDefault="00087780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Welcomed Blemish who gave a short demonstration of the planned IT system and outlined steps for first phase testing.</w:t>
      </w:r>
    </w:p>
    <w:p w14:paraId="419CAFD2" w14:textId="77777777" w:rsidR="00087780" w:rsidRDefault="00087780" w:rsidP="0036464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AECF127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1C3F362D" w14:textId="0552834E" w:rsidR="00C769D4" w:rsidRPr="00084976" w:rsidRDefault="00087780" w:rsidP="00084976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posts inherent in the new strategic plan, and approved job descriptions and salary scales.</w:t>
      </w:r>
    </w:p>
    <w:p w14:paraId="400E179E" w14:textId="77777777" w:rsidR="00D56874" w:rsidRDefault="00D56874" w:rsidP="00D56874">
      <w:pPr>
        <w:pStyle w:val="NormalWeb"/>
        <w:spacing w:before="0" w:beforeAutospacing="0" w:after="0" w:afterAutospacing="0"/>
        <w:ind w:left="157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14:paraId="3A676431" w14:textId="5B3E6372" w:rsidR="003C2FEC" w:rsidRDefault="00087780" w:rsidP="00087780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of the success of the PlayStation “Next Level Live” event;</w:t>
      </w:r>
    </w:p>
    <w:p w14:paraId="65111423" w14:textId="5A109447" w:rsidR="00087780" w:rsidRDefault="00087780" w:rsidP="00087780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delighted to hear of the success of Schools’ Football Week, with more than 22,000 children involved in football in that week;</w:t>
      </w:r>
    </w:p>
    <w:p w14:paraId="61537732" w14:textId="429A8293" w:rsidR="00087780" w:rsidRDefault="00087780" w:rsidP="00087780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report on the activity to support the UCFB partnership, including the first fixture against the University for the U18 international boys’ team;</w:t>
      </w:r>
    </w:p>
    <w:p w14:paraId="6EB220A0" w14:textId="61AEBDBD" w:rsidR="00087780" w:rsidRDefault="00087780" w:rsidP="00087780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Reflected on the success of the international squads’ trip to Eindhoven, courtesy of Inspire Sport;</w:t>
      </w:r>
    </w:p>
    <w:p w14:paraId="588E2F05" w14:textId="6642DFED" w:rsidR="00087780" w:rsidRDefault="00087780" w:rsidP="00087780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successful contract review with The FA, and a positive meeting regarding the Safeguarding Operating Standard.</w:t>
      </w:r>
    </w:p>
    <w:p w14:paraId="32AA2099" w14:textId="77777777" w:rsidR="00975A5D" w:rsidRDefault="00975A5D" w:rsidP="005C087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3B16626" w14:textId="77777777"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14:paraId="1797E499" w14:textId="3E050FC6" w:rsidR="005960C1" w:rsidRDefault="00087780" w:rsidP="00D47C7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Agreed the 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>Honorary Auditors’ annual visit</w:t>
      </w:r>
    </w:p>
    <w:p w14:paraId="3E5E2D85" w14:textId="665E26A5" w:rsidR="00E41F6B" w:rsidRPr="00D47C7F" w:rsidRDefault="00E41F6B" w:rsidP="00D47C7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safeguarding report.</w:t>
      </w:r>
    </w:p>
    <w:p w14:paraId="39299295" w14:textId="77777777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AE91F2C" w14:textId="1A614C79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 xml:space="preserve"> The routine review of the Risk Register concluded, with minor changes as proposed.</w:t>
      </w:r>
      <w:bookmarkStart w:id="0" w:name="_GoBack"/>
      <w:bookmarkEnd w:id="0"/>
    </w:p>
    <w:sectPr w:rsidR="00BF66D3" w:rsidSect="00E41F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BC1D" w14:textId="77777777" w:rsidR="00C46346" w:rsidRDefault="00C46346" w:rsidP="00353336">
      <w:pPr>
        <w:spacing w:after="0" w:line="240" w:lineRule="auto"/>
      </w:pPr>
      <w:r>
        <w:separator/>
      </w:r>
    </w:p>
  </w:endnote>
  <w:endnote w:type="continuationSeparator" w:id="0">
    <w:p w14:paraId="1827CD1A" w14:textId="77777777" w:rsidR="00C46346" w:rsidRDefault="00C46346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B75F2" w14:textId="77777777" w:rsidR="00C46346" w:rsidRDefault="00C46346" w:rsidP="00353336">
      <w:pPr>
        <w:spacing w:after="0" w:line="240" w:lineRule="auto"/>
      </w:pPr>
      <w:r>
        <w:separator/>
      </w:r>
    </w:p>
  </w:footnote>
  <w:footnote w:type="continuationSeparator" w:id="0">
    <w:p w14:paraId="3677B8FF" w14:textId="77777777" w:rsidR="00C46346" w:rsidRDefault="00C46346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18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0"/>
  </w:num>
  <w:num w:numId="19">
    <w:abstractNumId w:val="6"/>
  </w:num>
  <w:num w:numId="20">
    <w:abstractNumId w:val="19"/>
  </w:num>
  <w:num w:numId="21">
    <w:abstractNumId w:val="21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26F94"/>
    <w:rsid w:val="000814FC"/>
    <w:rsid w:val="00084976"/>
    <w:rsid w:val="00087780"/>
    <w:rsid w:val="000F4FAA"/>
    <w:rsid w:val="000F6409"/>
    <w:rsid w:val="00107E5B"/>
    <w:rsid w:val="001E3D67"/>
    <w:rsid w:val="001F261C"/>
    <w:rsid w:val="001F30EE"/>
    <w:rsid w:val="002119AE"/>
    <w:rsid w:val="00222F1E"/>
    <w:rsid w:val="00222FB1"/>
    <w:rsid w:val="00231F1A"/>
    <w:rsid w:val="00243942"/>
    <w:rsid w:val="002C6E43"/>
    <w:rsid w:val="002D4623"/>
    <w:rsid w:val="00305968"/>
    <w:rsid w:val="003166B2"/>
    <w:rsid w:val="00316FC5"/>
    <w:rsid w:val="003233AD"/>
    <w:rsid w:val="00343A1A"/>
    <w:rsid w:val="00353336"/>
    <w:rsid w:val="0036464D"/>
    <w:rsid w:val="0036544C"/>
    <w:rsid w:val="0039495B"/>
    <w:rsid w:val="003A2D9C"/>
    <w:rsid w:val="003A49EA"/>
    <w:rsid w:val="003B61C2"/>
    <w:rsid w:val="003C2FEC"/>
    <w:rsid w:val="00466216"/>
    <w:rsid w:val="00474E4C"/>
    <w:rsid w:val="00480865"/>
    <w:rsid w:val="004873BA"/>
    <w:rsid w:val="004A6D4B"/>
    <w:rsid w:val="004B27A1"/>
    <w:rsid w:val="00567835"/>
    <w:rsid w:val="00574797"/>
    <w:rsid w:val="005960C1"/>
    <w:rsid w:val="00596171"/>
    <w:rsid w:val="005C0871"/>
    <w:rsid w:val="0061091E"/>
    <w:rsid w:val="006218A3"/>
    <w:rsid w:val="00677168"/>
    <w:rsid w:val="00695030"/>
    <w:rsid w:val="006E0CA3"/>
    <w:rsid w:val="006E6550"/>
    <w:rsid w:val="0071500C"/>
    <w:rsid w:val="0076749C"/>
    <w:rsid w:val="00775F55"/>
    <w:rsid w:val="007A4C29"/>
    <w:rsid w:val="007B7460"/>
    <w:rsid w:val="008419A4"/>
    <w:rsid w:val="008702A0"/>
    <w:rsid w:val="008D687B"/>
    <w:rsid w:val="00961018"/>
    <w:rsid w:val="00975A5D"/>
    <w:rsid w:val="009968A1"/>
    <w:rsid w:val="009C3BDA"/>
    <w:rsid w:val="00A12418"/>
    <w:rsid w:val="00AD150C"/>
    <w:rsid w:val="00AE3575"/>
    <w:rsid w:val="00AE3696"/>
    <w:rsid w:val="00AF64B0"/>
    <w:rsid w:val="00B07ABE"/>
    <w:rsid w:val="00B14CCB"/>
    <w:rsid w:val="00B84988"/>
    <w:rsid w:val="00B96B03"/>
    <w:rsid w:val="00B97F1E"/>
    <w:rsid w:val="00BC62D5"/>
    <w:rsid w:val="00BF66D3"/>
    <w:rsid w:val="00C044EF"/>
    <w:rsid w:val="00C076E3"/>
    <w:rsid w:val="00C3707F"/>
    <w:rsid w:val="00C46346"/>
    <w:rsid w:val="00C55CA1"/>
    <w:rsid w:val="00C56544"/>
    <w:rsid w:val="00C769D4"/>
    <w:rsid w:val="00C928B6"/>
    <w:rsid w:val="00CE3CB6"/>
    <w:rsid w:val="00D42C5C"/>
    <w:rsid w:val="00D47C7F"/>
    <w:rsid w:val="00D56874"/>
    <w:rsid w:val="00DC1EC8"/>
    <w:rsid w:val="00DD3DEA"/>
    <w:rsid w:val="00DE3B52"/>
    <w:rsid w:val="00DF458B"/>
    <w:rsid w:val="00E1041B"/>
    <w:rsid w:val="00E41F6B"/>
    <w:rsid w:val="00E5313E"/>
    <w:rsid w:val="00E567CA"/>
    <w:rsid w:val="00E66DB6"/>
    <w:rsid w:val="00EC7068"/>
    <w:rsid w:val="00F04E17"/>
    <w:rsid w:val="00F06E38"/>
    <w:rsid w:val="00F330AF"/>
    <w:rsid w:val="00F4366E"/>
    <w:rsid w:val="00F45870"/>
    <w:rsid w:val="00F705EB"/>
    <w:rsid w:val="00F7264F"/>
    <w:rsid w:val="00F84AC7"/>
    <w:rsid w:val="00F90C38"/>
    <w:rsid w:val="00FB00D8"/>
    <w:rsid w:val="00FB3F11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7" ma:contentTypeDescription="Create a new document." ma:contentTypeScope="" ma:versionID="0d32382ca3006fbfbdc2c7a143dd17df">
  <xsd:schema xmlns:xsd="http://www.w3.org/2001/XMLSchema" xmlns:xs="http://www.w3.org/2001/XMLSchema" xmlns:p="http://schemas.microsoft.com/office/2006/metadata/properties" xmlns:ns3="492aa5d8-e75c-4377-a399-a539005626c7" targetNamespace="http://schemas.microsoft.com/office/2006/metadata/properties" ma:root="true" ma:fieldsID="ea7833b0a5674686d835e025b1af71aa" ns3:_="">
    <xsd:import namespace="492aa5d8-e75c-4377-a399-a5390056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97261-0211-4E7F-A67E-5CD1C627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andrea chilton</cp:lastModifiedBy>
  <cp:revision>3</cp:revision>
  <cp:lastPrinted>2019-10-07T13:44:00Z</cp:lastPrinted>
  <dcterms:created xsi:type="dcterms:W3CDTF">2020-05-12T08:36:00Z</dcterms:created>
  <dcterms:modified xsi:type="dcterms:W3CDTF">2020-05-12T08:47:00Z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